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98" w:rsidRDefault="00874198" w:rsidP="00874198">
      <w:pPr>
        <w:spacing w:line="240" w:lineRule="auto"/>
        <w:jc w:val="center"/>
        <w:rPr>
          <w:b/>
        </w:rPr>
      </w:pPr>
      <w:r>
        <w:rPr>
          <w:b/>
        </w:rPr>
        <w:t>ИНФОРМАЦИЯ</w:t>
      </w:r>
    </w:p>
    <w:p w:rsidR="00874198" w:rsidRDefault="00874198" w:rsidP="00874198">
      <w:pPr>
        <w:spacing w:line="240" w:lineRule="auto"/>
        <w:jc w:val="center"/>
        <w:rPr>
          <w:b/>
        </w:rPr>
      </w:pPr>
      <w:r>
        <w:rPr>
          <w:b/>
          <w:bCs/>
        </w:rPr>
        <w:t>ОБ ОСНОВНЫХ ИТОГАХ КОНТРОЛЬНОГО МЕРОПРИЯТИЯ</w:t>
      </w:r>
    </w:p>
    <w:p w:rsidR="00874198" w:rsidRDefault="00874198" w:rsidP="00874198">
      <w:pPr>
        <w:spacing w:line="240" w:lineRule="auto"/>
        <w:jc w:val="center"/>
        <w:rPr>
          <w:b/>
        </w:rPr>
      </w:pPr>
    </w:p>
    <w:p w:rsidR="00362850" w:rsidRDefault="00874198" w:rsidP="00874198">
      <w:pPr>
        <w:spacing w:line="240" w:lineRule="auto"/>
        <w:ind w:right="-284"/>
      </w:pPr>
      <w:r>
        <w:rPr>
          <w:szCs w:val="28"/>
        </w:rPr>
        <w:t xml:space="preserve">Контрольно-счетная Палата </w:t>
      </w:r>
      <w:r>
        <w:t>муниципального образования «</w:t>
      </w:r>
      <w:r>
        <w:rPr>
          <w:szCs w:val="28"/>
        </w:rPr>
        <w:t xml:space="preserve">Мирнинский район» </w:t>
      </w:r>
      <w:r>
        <w:rPr>
          <w:bCs/>
        </w:rPr>
        <w:t xml:space="preserve">Республики Саха (Якутия) </w:t>
      </w:r>
      <w:r>
        <w:t xml:space="preserve">в соответствии с </w:t>
      </w:r>
      <w:r w:rsidR="00602F8B">
        <w:t>п. 1.5</w:t>
      </w:r>
      <w:r w:rsidR="008A6819">
        <w:t xml:space="preserve">. Плана </w:t>
      </w:r>
      <w:r w:rsidR="008A6819" w:rsidRPr="008A6819">
        <w:rPr>
          <w:rStyle w:val="FontStyle15"/>
          <w:b w:val="0"/>
          <w:sz w:val="28"/>
          <w:szCs w:val="28"/>
        </w:rPr>
        <w:t xml:space="preserve">работы </w:t>
      </w:r>
      <w:r w:rsidR="008A6819">
        <w:t>Контрольно-счетной Палаты МО «Мирнинский район» РС (Я) на 20</w:t>
      </w:r>
      <w:r w:rsidR="00A075E5">
        <w:t>20</w:t>
      </w:r>
      <w:r w:rsidR="008A6819">
        <w:t xml:space="preserve"> год, распоряжени</w:t>
      </w:r>
      <w:r w:rsidR="00A075E5">
        <w:t>ем</w:t>
      </w:r>
      <w:r w:rsidR="008A6819">
        <w:t xml:space="preserve"> Председателя Контрольно-счетной Палаты МО «Мирнинский район» РС (Я) </w:t>
      </w:r>
      <w:r w:rsidR="00A075E5" w:rsidRPr="00A075E5">
        <w:t xml:space="preserve">от </w:t>
      </w:r>
      <w:r w:rsidR="00602F8B">
        <w:t>17.08.2020 г. № 62</w:t>
      </w:r>
      <w:r w:rsidR="00A075E5">
        <w:t xml:space="preserve"> </w:t>
      </w:r>
      <w:r>
        <w:t xml:space="preserve">провела контрольное мероприятие </w:t>
      </w:r>
      <w:r w:rsidR="008A6819">
        <w:t>«</w:t>
      </w:r>
      <w:r w:rsidR="00602F8B">
        <w:t xml:space="preserve">Проверка </w:t>
      </w:r>
      <w:r w:rsidR="00602F8B" w:rsidRPr="006F7DF3">
        <w:t>законности и результативности использования средств государственного бюджета Республики Саха (Якутия), направленных на реализацию подпрограммы «Отдых детей и их оздоровление» государственных программ Республики Саха (Якутия) «Развитие образования Республики Саха (Якутия) на 2016-2022 годы и на плановый период до 2026 года» и «Развитие образования Республики Саха (Якутия) на 2020-2024 годы и на плановый период до 2026 года», а также средств, выделенных из бюджета МО «Мирнинский район» Республики Саха (Якутия) на создание условий для организации качественного отдыха, оздоровления и занятости детей, обучающихся с 1 по 11 класс в рамках реализации муниципальной программы МО «Мирнинский район» Республики Саха (Якутия) «Доступное дополнительное образование» на 2019 -2023 годы»</w:t>
      </w:r>
      <w:r w:rsidR="00362850" w:rsidRPr="00362850">
        <w:t>.</w:t>
      </w:r>
    </w:p>
    <w:p w:rsidR="00874198" w:rsidRDefault="00874198" w:rsidP="00874198">
      <w:pPr>
        <w:spacing w:line="240" w:lineRule="auto"/>
        <w:ind w:right="-284"/>
      </w:pPr>
      <w:r>
        <w:t>Цель (цели) контрольного мероприятия:</w:t>
      </w:r>
      <w:r w:rsidR="00611CDD" w:rsidRPr="00611CDD">
        <w:t xml:space="preserve"> </w:t>
      </w:r>
      <w:r w:rsidR="00602F8B" w:rsidRPr="006F7DF3">
        <w:t>оценка законности, результативности (эффективности и экономности) использования объектами контрольного мероприятия средств государственного бюджета Республики Саха (Якутия) и бюджета МО «Мирнинский район» Республики Саха (Якутия), выделенных в рамках реализации соответствующих государственных и муниципальных программ (подпрограмм), направленных на организацию отдыха, оздоровления и занятости детей в 2019 году и первом полугодии 2020 года</w:t>
      </w:r>
      <w:r w:rsidR="00362850" w:rsidRPr="00362850">
        <w:t>.</w:t>
      </w:r>
    </w:p>
    <w:p w:rsidR="00E237FA" w:rsidRDefault="00874198" w:rsidP="00E237FA">
      <w:pPr>
        <w:spacing w:line="240" w:lineRule="auto"/>
        <w:ind w:right="-284"/>
      </w:pPr>
      <w:r>
        <w:t xml:space="preserve">Объект (объекты) контрольного мероприятия: </w:t>
      </w:r>
      <w:r w:rsidR="00362850" w:rsidRPr="00362850">
        <w:t>Администрация МО «Мирнинский район» Республики Саха (Якутия) (далее – Администрация МО «Мирнинский район»)</w:t>
      </w:r>
      <w:r w:rsidR="00602F8B">
        <w:t>;</w:t>
      </w:r>
    </w:p>
    <w:p w:rsidR="00602F8B" w:rsidRPr="00602F8B" w:rsidRDefault="00602F8B" w:rsidP="00602F8B">
      <w:pPr>
        <w:numPr>
          <w:ilvl w:val="0"/>
          <w:numId w:val="4"/>
        </w:numPr>
        <w:tabs>
          <w:tab w:val="left" w:pos="993"/>
        </w:tabs>
        <w:spacing w:line="240" w:lineRule="auto"/>
        <w:ind w:left="0" w:right="-1" w:firstLine="709"/>
        <w:contextualSpacing/>
        <w:rPr>
          <w:szCs w:val="28"/>
        </w:rPr>
      </w:pPr>
      <w:r w:rsidRPr="00602F8B">
        <w:rPr>
          <w:szCs w:val="28"/>
        </w:rPr>
        <w:t>муниципальное казенное учреждение «Мирнинское районное управление образование» МО «Мирнинский район» Республики Саха (Якутия) (далее – МКУ «МРУО»).</w:t>
      </w:r>
    </w:p>
    <w:p w:rsidR="00362850" w:rsidRPr="00602F8B" w:rsidRDefault="00602F8B" w:rsidP="00602F8B">
      <w:pPr>
        <w:tabs>
          <w:tab w:val="left" w:pos="993"/>
        </w:tabs>
        <w:spacing w:line="240" w:lineRule="auto"/>
        <w:ind w:right="-284"/>
        <w:rPr>
          <w:szCs w:val="28"/>
        </w:rPr>
      </w:pPr>
      <w:r w:rsidRPr="00602F8B">
        <w:rPr>
          <w:szCs w:val="28"/>
        </w:rPr>
        <w:t>муниципальное автономное общеобразовательное учреждение «Средняя общеобразовательная школа №12 с углубленным изучением английского языка» муниципального образования «Мирнинский район» Республики Саха (Якутия) (далее – МАОУ «СОШ № 12»)</w:t>
      </w:r>
      <w:r w:rsidR="00362850" w:rsidRPr="00602F8B">
        <w:rPr>
          <w:szCs w:val="28"/>
        </w:rPr>
        <w:t>.</w:t>
      </w:r>
    </w:p>
    <w:p w:rsidR="00874198" w:rsidRPr="00602F8B" w:rsidRDefault="00874198" w:rsidP="00602F8B">
      <w:pPr>
        <w:tabs>
          <w:tab w:val="left" w:pos="993"/>
        </w:tabs>
        <w:spacing w:line="240" w:lineRule="auto"/>
        <w:ind w:right="-284"/>
        <w:rPr>
          <w:szCs w:val="28"/>
        </w:rPr>
      </w:pPr>
      <w:r w:rsidRPr="00602F8B">
        <w:rPr>
          <w:szCs w:val="28"/>
        </w:rPr>
        <w:t xml:space="preserve">В результате проведенного контрольного мероприятия </w:t>
      </w:r>
      <w:r w:rsidR="008A6819" w:rsidRPr="00602F8B">
        <w:rPr>
          <w:szCs w:val="28"/>
        </w:rPr>
        <w:t>установлено</w:t>
      </w:r>
      <w:r w:rsidRPr="00602F8B">
        <w:rPr>
          <w:szCs w:val="28"/>
        </w:rPr>
        <w:t xml:space="preserve">: </w:t>
      </w:r>
    </w:p>
    <w:p w:rsidR="00602F8B" w:rsidRPr="00602F8B" w:rsidRDefault="00602F8B" w:rsidP="00602F8B">
      <w:pPr>
        <w:tabs>
          <w:tab w:val="left" w:pos="709"/>
        </w:tabs>
        <w:spacing w:line="240" w:lineRule="auto"/>
        <w:ind w:right="-1"/>
        <w:rPr>
          <w:szCs w:val="28"/>
        </w:rPr>
      </w:pPr>
      <w:r w:rsidRPr="00602F8B">
        <w:rPr>
          <w:szCs w:val="28"/>
        </w:rPr>
        <w:t xml:space="preserve">Кассовое исполнение мероприятий муниципальной программы МО «Мирнинский район» Республики Саха (Якутия) «Доступное дополнительное образование» на 2019-2023 годы» задачи по созданию условий для организации качественного отдыха, оздоровления и занятости детей, обучающихся с 1 по 11 класс, составило в 2019 году – </w:t>
      </w:r>
      <w:r w:rsidRPr="00602F8B">
        <w:rPr>
          <w:b/>
          <w:szCs w:val="28"/>
        </w:rPr>
        <w:t>44 442 982,63</w:t>
      </w:r>
      <w:r w:rsidRPr="00602F8B">
        <w:rPr>
          <w:szCs w:val="28"/>
        </w:rPr>
        <w:t xml:space="preserve"> руб. (из которых, средства государственного бюджета – 17 153 665,81 руб., средства </w:t>
      </w:r>
      <w:r w:rsidRPr="00602F8B">
        <w:rPr>
          <w:szCs w:val="28"/>
        </w:rPr>
        <w:lastRenderedPageBreak/>
        <w:t xml:space="preserve">местного бюджета – 27 289 316,82 руб.), в первом полугодии 2020 года – </w:t>
      </w:r>
      <w:r w:rsidRPr="00602F8B">
        <w:rPr>
          <w:b/>
          <w:szCs w:val="28"/>
        </w:rPr>
        <w:t>705 547,44</w:t>
      </w:r>
      <w:r w:rsidRPr="00602F8B">
        <w:rPr>
          <w:szCs w:val="28"/>
        </w:rPr>
        <w:t xml:space="preserve"> руб. (средства местного бюджета).</w:t>
      </w:r>
    </w:p>
    <w:p w:rsidR="00602F8B" w:rsidRPr="00602F8B" w:rsidRDefault="00602F8B" w:rsidP="00602F8B">
      <w:pPr>
        <w:tabs>
          <w:tab w:val="left" w:pos="709"/>
        </w:tabs>
        <w:spacing w:line="240" w:lineRule="auto"/>
        <w:ind w:right="-1"/>
        <w:rPr>
          <w:szCs w:val="28"/>
        </w:rPr>
      </w:pPr>
      <w:r w:rsidRPr="00602F8B">
        <w:rPr>
          <w:szCs w:val="28"/>
        </w:rPr>
        <w:t>Исполнение целевых показателей муниципальной программы задачи по созданию условий для организации качественного отдыха, оздоровления и занятости детей, обучающихся с 1 по 11 класс, в 2019 году составило:</w:t>
      </w:r>
    </w:p>
    <w:p w:rsidR="00602F8B" w:rsidRPr="00602F8B" w:rsidRDefault="00602F8B" w:rsidP="00602F8B">
      <w:pPr>
        <w:tabs>
          <w:tab w:val="left" w:pos="993"/>
        </w:tabs>
        <w:spacing w:line="240" w:lineRule="auto"/>
        <w:ind w:right="-1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Pr="00602F8B">
        <w:rPr>
          <w:b/>
          <w:szCs w:val="28"/>
        </w:rPr>
        <w:t>99,4%</w:t>
      </w:r>
      <w:r w:rsidRPr="00602F8B">
        <w:rPr>
          <w:szCs w:val="28"/>
        </w:rPr>
        <w:t>, при плане 98,7% (доля обучающихся с 1 по 11 классы, охваченных организованным отдыхом, оздоровлением и занятостью в летний период (в том числе, выезд за пределы района), в общей численности обучающихся с 1 по 11 класс);</w:t>
      </w:r>
    </w:p>
    <w:p w:rsidR="00602F8B" w:rsidRPr="00602F8B" w:rsidRDefault="00602F8B" w:rsidP="00602F8B">
      <w:pPr>
        <w:tabs>
          <w:tab w:val="left" w:pos="993"/>
        </w:tabs>
        <w:spacing w:line="240" w:lineRule="auto"/>
        <w:ind w:right="-1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Pr="00602F8B">
        <w:rPr>
          <w:b/>
          <w:szCs w:val="28"/>
        </w:rPr>
        <w:t>36%</w:t>
      </w:r>
      <w:r w:rsidRPr="00602F8B">
        <w:rPr>
          <w:szCs w:val="28"/>
        </w:rPr>
        <w:t>, при плане 32,5% (доля обучающихся с 1 по 11 классы, охваченных организованным отдыхом и занятостью в летний период на летних оздоровительных площадках (в том числе трудовые) при образовательных организациях);</w:t>
      </w:r>
    </w:p>
    <w:p w:rsidR="00602F8B" w:rsidRPr="00602F8B" w:rsidRDefault="00602F8B" w:rsidP="00602F8B">
      <w:pPr>
        <w:tabs>
          <w:tab w:val="left" w:pos="993"/>
        </w:tabs>
        <w:spacing w:line="240" w:lineRule="auto"/>
        <w:ind w:right="-1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Pr="00602F8B">
        <w:rPr>
          <w:b/>
          <w:szCs w:val="28"/>
        </w:rPr>
        <w:t>100%</w:t>
      </w:r>
      <w:r w:rsidRPr="00602F8B">
        <w:rPr>
          <w:szCs w:val="28"/>
        </w:rPr>
        <w:t>, при плане 100% (доля обучающихся с 1 по 11 классы, находящихся в трудной жизненной ситуации, в том числе состоящих на профилактическом учете в комиссии по делам несовершеннолетних и защите их прав, охваченных организованным отдыхом и занятостью (от общего числа обучающихся с 1 по 11 классы в ТСЖ, в том числе состоящих на профилактическом учете в районе);</w:t>
      </w:r>
    </w:p>
    <w:p w:rsidR="00602F8B" w:rsidRPr="00602F8B" w:rsidRDefault="00602F8B" w:rsidP="00602F8B">
      <w:pPr>
        <w:tabs>
          <w:tab w:val="left" w:pos="993"/>
        </w:tabs>
        <w:spacing w:line="240" w:lineRule="auto"/>
        <w:ind w:right="-1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Pr="00602F8B">
        <w:rPr>
          <w:b/>
          <w:szCs w:val="28"/>
        </w:rPr>
        <w:t>16,7%</w:t>
      </w:r>
      <w:r w:rsidRPr="00602F8B">
        <w:rPr>
          <w:szCs w:val="28"/>
        </w:rPr>
        <w:t>, при плане 12% (доля детей с ОВЗ, инвалидов, обучающихся с 1 по 11 классы, охваченных организованным отдыхом, оздоровлением и занятостью (от общего числа обучающихся с ОВЗ с 1 по 11 классы в районе);</w:t>
      </w:r>
    </w:p>
    <w:p w:rsidR="00602F8B" w:rsidRPr="00602F8B" w:rsidRDefault="00602F8B" w:rsidP="00602F8B">
      <w:pPr>
        <w:tabs>
          <w:tab w:val="left" w:pos="993"/>
        </w:tabs>
        <w:spacing w:line="240" w:lineRule="auto"/>
        <w:ind w:right="-1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Pr="00602F8B">
        <w:rPr>
          <w:b/>
          <w:szCs w:val="28"/>
        </w:rPr>
        <w:t>110</w:t>
      </w:r>
      <w:r w:rsidRPr="00602F8B">
        <w:rPr>
          <w:szCs w:val="28"/>
        </w:rPr>
        <w:t xml:space="preserve"> ед., при плане 110 ед. (количество детей в возрасте 14-18 лет, трудоустроенных в рамках реализации проекта «Школьная биржа труда».</w:t>
      </w:r>
    </w:p>
    <w:p w:rsidR="00602F8B" w:rsidRPr="00602F8B" w:rsidRDefault="00602F8B" w:rsidP="00602F8B">
      <w:pPr>
        <w:tabs>
          <w:tab w:val="left" w:pos="1134"/>
        </w:tabs>
        <w:spacing w:line="240" w:lineRule="auto"/>
        <w:ind w:right="-1"/>
        <w:contextualSpacing/>
        <w:rPr>
          <w:szCs w:val="28"/>
        </w:rPr>
      </w:pPr>
      <w:r w:rsidRPr="00602F8B">
        <w:rPr>
          <w:szCs w:val="28"/>
        </w:rPr>
        <w:t xml:space="preserve">По результатам проведенного контрольного мероприятия Контрольно-счетной Палатой МО «Мирнинский район» РС (Я) были выявлены нарушения федерального законодательства, нормативных правовых актов Республики Саха (Якутия) и муниципальных правовых актов МО «Мирнинский район» Республики Саха (Якутия) на общую сумму </w:t>
      </w:r>
      <w:r w:rsidRPr="00602F8B">
        <w:rPr>
          <w:b/>
          <w:szCs w:val="28"/>
        </w:rPr>
        <w:t>327 819,44</w:t>
      </w:r>
      <w:r w:rsidRPr="00602F8B">
        <w:rPr>
          <w:szCs w:val="28"/>
        </w:rPr>
        <w:t xml:space="preserve"> руб., в том числе, в части:</w:t>
      </w:r>
    </w:p>
    <w:p w:rsidR="00602F8B" w:rsidRPr="00602F8B" w:rsidRDefault="00602F8B" w:rsidP="00602F8B">
      <w:pPr>
        <w:numPr>
          <w:ilvl w:val="0"/>
          <w:numId w:val="5"/>
        </w:numPr>
        <w:tabs>
          <w:tab w:val="left" w:pos="993"/>
        </w:tabs>
        <w:spacing w:line="240" w:lineRule="auto"/>
        <w:ind w:left="0" w:right="-1" w:firstLine="709"/>
        <w:contextualSpacing/>
        <w:rPr>
          <w:szCs w:val="28"/>
        </w:rPr>
      </w:pPr>
      <w:r w:rsidRPr="00602F8B">
        <w:rPr>
          <w:szCs w:val="28"/>
        </w:rPr>
        <w:t>нарушения при предоставлении межбюджетных трансфертов;</w:t>
      </w:r>
    </w:p>
    <w:p w:rsidR="00602F8B" w:rsidRPr="00602F8B" w:rsidRDefault="00602F8B" w:rsidP="00602F8B">
      <w:pPr>
        <w:numPr>
          <w:ilvl w:val="0"/>
          <w:numId w:val="5"/>
        </w:numPr>
        <w:tabs>
          <w:tab w:val="left" w:pos="993"/>
        </w:tabs>
        <w:spacing w:line="240" w:lineRule="auto"/>
        <w:ind w:left="0" w:right="-1" w:firstLine="709"/>
        <w:contextualSpacing/>
        <w:rPr>
          <w:szCs w:val="28"/>
        </w:rPr>
      </w:pPr>
      <w:r w:rsidRPr="00602F8B">
        <w:rPr>
          <w:szCs w:val="28"/>
        </w:rPr>
        <w:t>нарушения порядка формирования муниципального задания;</w:t>
      </w:r>
    </w:p>
    <w:p w:rsidR="00602F8B" w:rsidRPr="00602F8B" w:rsidRDefault="00602F8B" w:rsidP="00602F8B">
      <w:pPr>
        <w:numPr>
          <w:ilvl w:val="0"/>
          <w:numId w:val="5"/>
        </w:numPr>
        <w:tabs>
          <w:tab w:val="left" w:pos="993"/>
        </w:tabs>
        <w:spacing w:line="240" w:lineRule="auto"/>
        <w:ind w:left="0" w:right="-1" w:firstLine="709"/>
        <w:contextualSpacing/>
        <w:rPr>
          <w:szCs w:val="28"/>
        </w:rPr>
      </w:pPr>
      <w:r w:rsidRPr="00602F8B">
        <w:rPr>
          <w:szCs w:val="28"/>
        </w:rPr>
        <w:t>нарушения при осуществлении закупок товаров, работ, услуг;</w:t>
      </w:r>
    </w:p>
    <w:p w:rsidR="00602F8B" w:rsidRPr="00602F8B" w:rsidRDefault="00602F8B" w:rsidP="00602F8B">
      <w:pPr>
        <w:numPr>
          <w:ilvl w:val="0"/>
          <w:numId w:val="5"/>
        </w:numPr>
        <w:tabs>
          <w:tab w:val="left" w:pos="993"/>
        </w:tabs>
        <w:spacing w:line="240" w:lineRule="auto"/>
        <w:ind w:left="0" w:right="-1" w:firstLine="709"/>
        <w:contextualSpacing/>
        <w:rPr>
          <w:szCs w:val="28"/>
        </w:rPr>
      </w:pPr>
      <w:r w:rsidRPr="00602F8B">
        <w:rPr>
          <w:szCs w:val="28"/>
        </w:rPr>
        <w:t>нарушения при предоставлении субсидий юридическим лицам и их использовании (за исключением субсидий, предоставленных муниципальным учреждениям) (на общую сумму 51 415,32 руб.);</w:t>
      </w:r>
    </w:p>
    <w:p w:rsidR="00602F8B" w:rsidRPr="00602F8B" w:rsidRDefault="00602F8B" w:rsidP="00602F8B">
      <w:pPr>
        <w:numPr>
          <w:ilvl w:val="0"/>
          <w:numId w:val="5"/>
        </w:numPr>
        <w:tabs>
          <w:tab w:val="left" w:pos="993"/>
        </w:tabs>
        <w:spacing w:line="240" w:lineRule="auto"/>
        <w:ind w:left="0" w:right="-1" w:firstLine="709"/>
        <w:contextualSpacing/>
        <w:rPr>
          <w:szCs w:val="28"/>
        </w:rPr>
      </w:pPr>
      <w:r w:rsidRPr="00602F8B">
        <w:rPr>
          <w:szCs w:val="28"/>
        </w:rPr>
        <w:t>нарушения при предоставлении субсидий муниципальным бюджетным и автономным учреждениям на финансовое обеспечение выполнения муниципального задания (на иные цели) и их использовании (на общую сумму 2 966,84 руб.);</w:t>
      </w:r>
    </w:p>
    <w:p w:rsidR="00602F8B" w:rsidRPr="00602F8B" w:rsidRDefault="00602F8B" w:rsidP="00602F8B">
      <w:pPr>
        <w:numPr>
          <w:ilvl w:val="0"/>
          <w:numId w:val="5"/>
        </w:numPr>
        <w:tabs>
          <w:tab w:val="left" w:pos="993"/>
        </w:tabs>
        <w:spacing w:line="240" w:lineRule="auto"/>
        <w:ind w:left="0" w:right="-1" w:firstLine="709"/>
        <w:contextualSpacing/>
        <w:rPr>
          <w:bCs/>
          <w:szCs w:val="28"/>
        </w:rPr>
      </w:pPr>
      <w:r w:rsidRPr="00602F8B">
        <w:rPr>
          <w:szCs w:val="28"/>
        </w:rPr>
        <w:t>нарушение порядка предоставления компенсации стоимости путевок в оздоровительные лагеря и расходов на оплату проезда детей к месту отдыха и обр</w:t>
      </w:r>
      <w:bookmarkStart w:id="0" w:name="_GoBack"/>
      <w:bookmarkEnd w:id="0"/>
      <w:r w:rsidRPr="00602F8B">
        <w:rPr>
          <w:szCs w:val="28"/>
        </w:rPr>
        <w:t>атно (на общую сумму 450,00 руб.);</w:t>
      </w:r>
    </w:p>
    <w:p w:rsidR="00602F8B" w:rsidRPr="00602F8B" w:rsidRDefault="00602F8B" w:rsidP="00602F8B">
      <w:pPr>
        <w:numPr>
          <w:ilvl w:val="0"/>
          <w:numId w:val="5"/>
        </w:numPr>
        <w:tabs>
          <w:tab w:val="left" w:pos="993"/>
        </w:tabs>
        <w:spacing w:line="240" w:lineRule="auto"/>
        <w:ind w:left="0" w:right="-1" w:firstLine="709"/>
        <w:contextualSpacing/>
        <w:rPr>
          <w:szCs w:val="28"/>
        </w:rPr>
      </w:pPr>
      <w:r w:rsidRPr="00602F8B">
        <w:rPr>
          <w:szCs w:val="28"/>
        </w:rPr>
        <w:lastRenderedPageBreak/>
        <w:t>неправомерное использование бюджетных средств (на общую сумму –254 520,78 руб.);</w:t>
      </w:r>
    </w:p>
    <w:p w:rsidR="00602F8B" w:rsidRPr="00602F8B" w:rsidRDefault="00602F8B" w:rsidP="00602F8B">
      <w:pPr>
        <w:numPr>
          <w:ilvl w:val="0"/>
          <w:numId w:val="5"/>
        </w:numPr>
        <w:tabs>
          <w:tab w:val="left" w:pos="993"/>
        </w:tabs>
        <w:spacing w:line="240" w:lineRule="auto"/>
        <w:ind w:left="0" w:right="-1" w:firstLine="709"/>
        <w:contextualSpacing/>
        <w:rPr>
          <w:szCs w:val="28"/>
        </w:rPr>
      </w:pPr>
      <w:r w:rsidRPr="00602F8B">
        <w:rPr>
          <w:szCs w:val="28"/>
        </w:rPr>
        <w:t>иные нарушения (на общую сумму 18 466,50 руб.)</w:t>
      </w:r>
    </w:p>
    <w:p w:rsidR="00AB351E" w:rsidRPr="00362850" w:rsidRDefault="00AB351E" w:rsidP="00362850">
      <w:pPr>
        <w:tabs>
          <w:tab w:val="left" w:pos="993"/>
        </w:tabs>
        <w:spacing w:line="240" w:lineRule="auto"/>
        <w:ind w:right="-284"/>
      </w:pPr>
    </w:p>
    <w:p w:rsidR="00874198" w:rsidRDefault="00874198" w:rsidP="00874198">
      <w:pPr>
        <w:spacing w:line="240" w:lineRule="auto"/>
        <w:ind w:right="-284"/>
        <w:rPr>
          <w:bCs/>
          <w:szCs w:val="28"/>
        </w:rPr>
      </w:pPr>
      <w:r>
        <w:t xml:space="preserve">Отчет о результатах контрольного </w:t>
      </w:r>
      <w:r>
        <w:rPr>
          <w:szCs w:val="28"/>
        </w:rPr>
        <w:t xml:space="preserve">мероприятия </w:t>
      </w:r>
      <w:r>
        <w:rPr>
          <w:bCs/>
          <w:szCs w:val="28"/>
        </w:rPr>
        <w:t xml:space="preserve">утвержден Председателем </w:t>
      </w:r>
      <w:r>
        <w:rPr>
          <w:szCs w:val="28"/>
        </w:rPr>
        <w:t xml:space="preserve">Контрольно-счетной Палаты </w:t>
      </w:r>
      <w:r>
        <w:t>муниципального образования «</w:t>
      </w:r>
      <w:r>
        <w:rPr>
          <w:szCs w:val="28"/>
        </w:rPr>
        <w:t xml:space="preserve">Мирнинский район» </w:t>
      </w:r>
      <w:r>
        <w:rPr>
          <w:bCs/>
        </w:rPr>
        <w:t xml:space="preserve">Республики Саха (Якутия) </w:t>
      </w:r>
      <w:r>
        <w:rPr>
          <w:bCs/>
          <w:szCs w:val="28"/>
        </w:rPr>
        <w:t>«</w:t>
      </w:r>
      <w:r w:rsidR="000D5D00">
        <w:rPr>
          <w:bCs/>
          <w:szCs w:val="28"/>
        </w:rPr>
        <w:t>28</w:t>
      </w:r>
      <w:r>
        <w:rPr>
          <w:bCs/>
          <w:szCs w:val="28"/>
        </w:rPr>
        <w:t>»</w:t>
      </w:r>
      <w:r w:rsidR="001428D1">
        <w:rPr>
          <w:bCs/>
          <w:szCs w:val="28"/>
        </w:rPr>
        <w:t xml:space="preserve"> </w:t>
      </w:r>
      <w:r w:rsidR="000D5D00">
        <w:rPr>
          <w:bCs/>
          <w:szCs w:val="28"/>
        </w:rPr>
        <w:t>сентября</w:t>
      </w:r>
      <w:r w:rsidR="001428D1">
        <w:rPr>
          <w:bCs/>
          <w:szCs w:val="28"/>
        </w:rPr>
        <w:t xml:space="preserve"> </w:t>
      </w:r>
      <w:r>
        <w:rPr>
          <w:bCs/>
          <w:szCs w:val="28"/>
        </w:rPr>
        <w:t>20</w:t>
      </w:r>
      <w:r w:rsidR="00611CDD">
        <w:rPr>
          <w:bCs/>
          <w:szCs w:val="28"/>
        </w:rPr>
        <w:t>20</w:t>
      </w:r>
      <w:r w:rsidR="001428D1">
        <w:rPr>
          <w:bCs/>
          <w:szCs w:val="28"/>
        </w:rPr>
        <w:t xml:space="preserve"> </w:t>
      </w:r>
      <w:r>
        <w:rPr>
          <w:bCs/>
          <w:szCs w:val="28"/>
        </w:rPr>
        <w:t>г.</w:t>
      </w:r>
    </w:p>
    <w:p w:rsidR="008A6819" w:rsidRDefault="008A6819"/>
    <w:sectPr w:rsidR="008A6819" w:rsidSect="00C64D25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B67"/>
    <w:multiLevelType w:val="multilevel"/>
    <w:tmpl w:val="DC3C81D4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354" w:hanging="36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0" w:hanging="72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1790" w:hanging="108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1" w15:restartNumberingAfterBreak="0">
    <w:nsid w:val="25F6018F"/>
    <w:multiLevelType w:val="multilevel"/>
    <w:tmpl w:val="E6805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8020E3D"/>
    <w:multiLevelType w:val="hybridMultilevel"/>
    <w:tmpl w:val="C39CE548"/>
    <w:lvl w:ilvl="0" w:tplc="6F6055E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60E90547"/>
    <w:multiLevelType w:val="hybridMultilevel"/>
    <w:tmpl w:val="348A12C6"/>
    <w:lvl w:ilvl="0" w:tplc="6F6055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98"/>
    <w:rsid w:val="00034CDD"/>
    <w:rsid w:val="000D5D00"/>
    <w:rsid w:val="001428D1"/>
    <w:rsid w:val="00362850"/>
    <w:rsid w:val="00463929"/>
    <w:rsid w:val="00524B1F"/>
    <w:rsid w:val="00602F8B"/>
    <w:rsid w:val="00611CDD"/>
    <w:rsid w:val="00874198"/>
    <w:rsid w:val="008A6819"/>
    <w:rsid w:val="0092534A"/>
    <w:rsid w:val="009C591C"/>
    <w:rsid w:val="009D1F67"/>
    <w:rsid w:val="009F42C2"/>
    <w:rsid w:val="00A075E5"/>
    <w:rsid w:val="00AB351E"/>
    <w:rsid w:val="00C64D25"/>
    <w:rsid w:val="00E237FA"/>
    <w:rsid w:val="00F0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4C008"/>
  <w15:docId w15:val="{F2F8AE29-0F8B-4942-94FF-1B9AA16A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19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uiPriority w:val="99"/>
    <w:rsid w:val="008A6819"/>
    <w:rPr>
      <w:rFonts w:ascii="Times New Roman" w:hAnsi="Times New Roman" w:cs="Times New Roman" w:hint="default"/>
      <w:b/>
      <w:bCs/>
      <w:sz w:val="22"/>
      <w:szCs w:val="22"/>
    </w:rPr>
  </w:style>
  <w:style w:type="numbering" w:customStyle="1" w:styleId="1111111">
    <w:name w:val="1 / 1.1 / 1.1.11"/>
    <w:basedOn w:val="a2"/>
    <w:next w:val="111111"/>
    <w:uiPriority w:val="99"/>
    <w:rsid w:val="00A075E5"/>
  </w:style>
  <w:style w:type="numbering" w:styleId="111111">
    <w:name w:val="Outline List 2"/>
    <w:basedOn w:val="a2"/>
    <w:uiPriority w:val="99"/>
    <w:semiHidden/>
    <w:unhideWhenUsed/>
    <w:rsid w:val="00A075E5"/>
  </w:style>
  <w:style w:type="numbering" w:customStyle="1" w:styleId="11111111">
    <w:name w:val="1 / 1.1 / 1.1.111"/>
    <w:basedOn w:val="a2"/>
    <w:next w:val="111111"/>
    <w:uiPriority w:val="99"/>
    <w:rsid w:val="00602F8B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Елена Геннадьевна</dc:creator>
  <cp:lastModifiedBy>Полякова Елена Геннадьевна</cp:lastModifiedBy>
  <cp:revision>2</cp:revision>
  <dcterms:created xsi:type="dcterms:W3CDTF">2020-09-29T01:49:00Z</dcterms:created>
  <dcterms:modified xsi:type="dcterms:W3CDTF">2020-09-29T01:49:00Z</dcterms:modified>
</cp:coreProperties>
</file>