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A8" w:rsidRDefault="00E811D4" w:rsidP="00CD12B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7B2FBD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Льготы по налогам</w:t>
      </w:r>
      <w:r w:rsidR="00FC005D" w:rsidRPr="007B2FBD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и страховым взносам</w:t>
      </w:r>
      <w:r w:rsidRPr="007B2FBD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 для </w:t>
      </w:r>
      <w:r w:rsidR="00FD36A8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предпринимателей в 2024 году</w:t>
      </w:r>
      <w:bookmarkStart w:id="0" w:name="_GoBack"/>
      <w:bookmarkEnd w:id="0"/>
    </w:p>
    <w:p w:rsidR="00FC005D" w:rsidRPr="007B2FBD" w:rsidRDefault="0036047A" w:rsidP="00CD12B5">
      <w:pPr>
        <w:shd w:val="clear" w:color="auto" w:fill="FFFFFF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 году о</w:t>
      </w:r>
      <w:r w:rsidR="00FC005D"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рганизации и индивидуальные предприниматели, которые включены в реестр субъектов малого и среднего предпринимательства (МСП), имеют право на </w:t>
      </w:r>
      <w:r w:rsidR="00FC005D" w:rsidRPr="007B2F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пониженный тариф страховых взносов</w:t>
      </w:r>
      <w:r w:rsidR="00FC005D"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размере 15 процентов с выплат физлицам свыше МРОТ (подп. 17 п. 1 ст. 427 НК). Чтобы применять пониженный тариф, не нужно оформлять никаких специальных документов. Он не зависит от вида деятельности и кода основного ОКВЭД.</w:t>
      </w:r>
    </w:p>
    <w:p w:rsidR="00FC005D" w:rsidRPr="007B2FBD" w:rsidRDefault="00FC005D" w:rsidP="00CD12B5">
      <w:pPr>
        <w:shd w:val="clear" w:color="auto" w:fill="FFFFFF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Суть применения пониженного тарифа для МСП в том, что часть ежемесячных выплат в сумме свыше федерального МРОТ облагаются не по общему тарифу 30 процентов, а по пониженному 15 процентов. То есть налоговая нагрузка для малых и средних предприятий снижается. Пониженный тариф страховых взносов в размере 15 процентов для субъектов МСП — это долгосрочная мера поддержки. Окончательный срок его действия не установлен, то есть тариф 15% действует в Налоговом кодексе бессрочно (подп. 17 п. 1 ст. 427 НК).</w:t>
      </w:r>
    </w:p>
    <w:p w:rsidR="00FD36A8" w:rsidRDefault="00FD36A8" w:rsidP="00CD12B5">
      <w:pPr>
        <w:shd w:val="clear" w:color="auto" w:fill="FFFFFF"/>
        <w:spacing w:before="360" w:after="36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36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Разбираемся на примере</w:t>
      </w:r>
    </w:p>
    <w:p w:rsidR="0036047A" w:rsidRPr="007B2FBD" w:rsidRDefault="0036047A" w:rsidP="00CD12B5">
      <w:pPr>
        <w:shd w:val="clear" w:color="auto" w:fill="FFFFFF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«База» относится к малым предприятиям и включено в реестр МСП. В январе 2024 года сотруднику начислили оклад по трудовому договору 30 000 руб. Эта сумма не превышает предельную величину базы для начисления страховых взносов</w:t>
      </w:r>
      <w:r w:rsidR="00F13927"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46DFC"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01.01.2024 г. МРОТ по России составил </w:t>
      </w:r>
      <w:r w:rsidR="00F13927"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19 242 </w:t>
      </w:r>
      <w:r w:rsidR="00446DFC"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руб.</w:t>
      </w:r>
      <w:r w:rsidR="00AC444F"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Якутии</w:t>
      </w:r>
      <w:r w:rsidR="00446DFC"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AC444F"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 </w:t>
      </w:r>
      <w:r w:rsidR="00446DFC"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434</w:t>
      </w:r>
      <w:r w:rsidR="00AC444F"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руб.)</w:t>
      </w:r>
    </w:p>
    <w:p w:rsidR="00F13927" w:rsidRPr="007B2FBD" w:rsidRDefault="00F13927" w:rsidP="00F13927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b/>
          <w:color w:val="000000"/>
          <w:sz w:val="28"/>
          <w:szCs w:val="28"/>
        </w:rPr>
      </w:pPr>
      <w:r w:rsidRPr="007B2FBD">
        <w:rPr>
          <w:b/>
          <w:color w:val="000000"/>
          <w:sz w:val="28"/>
          <w:szCs w:val="28"/>
        </w:rPr>
        <w:t>Тогда, взносы в СФР</w:t>
      </w:r>
      <w:r w:rsidR="00FD36A8">
        <w:rPr>
          <w:b/>
          <w:color w:val="000000"/>
          <w:sz w:val="28"/>
          <w:szCs w:val="28"/>
        </w:rPr>
        <w:t xml:space="preserve"> рассчитываются следующим образом:</w:t>
      </w:r>
    </w:p>
    <w:p w:rsidR="00F13927" w:rsidRPr="007B2FBD" w:rsidRDefault="00AC444F" w:rsidP="00FD36A8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FBD">
        <w:rPr>
          <w:color w:val="000000"/>
          <w:sz w:val="28"/>
          <w:szCs w:val="28"/>
          <w:shd w:val="clear" w:color="auto" w:fill="FFFFFF"/>
        </w:rPr>
        <w:t xml:space="preserve">Сумма страховых взносов по общему тарифу </w:t>
      </w:r>
      <w:r w:rsidR="00F13927" w:rsidRPr="007B2FBD">
        <w:rPr>
          <w:color w:val="000000"/>
          <w:sz w:val="28"/>
          <w:szCs w:val="28"/>
        </w:rPr>
        <w:t>5 772,6 руб. (19 242 руб. × 30%)</w:t>
      </w:r>
    </w:p>
    <w:p w:rsidR="00F13927" w:rsidRPr="007B2FBD" w:rsidRDefault="00AC444F" w:rsidP="00FD36A8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FBD">
        <w:rPr>
          <w:color w:val="000000"/>
          <w:sz w:val="28"/>
          <w:szCs w:val="28"/>
          <w:shd w:val="clear" w:color="auto" w:fill="FFFFFF"/>
        </w:rPr>
        <w:t>Сумма страховых взносов по пониженному тарифу</w:t>
      </w:r>
      <w:r w:rsidRPr="007B2FBD">
        <w:rPr>
          <w:color w:val="000000"/>
          <w:sz w:val="28"/>
          <w:szCs w:val="28"/>
        </w:rPr>
        <w:t xml:space="preserve"> </w:t>
      </w:r>
      <w:r w:rsidR="00F13927" w:rsidRPr="007B2FBD">
        <w:rPr>
          <w:color w:val="000000"/>
          <w:sz w:val="28"/>
          <w:szCs w:val="28"/>
        </w:rPr>
        <w:t>1 613,7 [(30 000 руб. – 19 242 руб.) × 15%]</w:t>
      </w:r>
    </w:p>
    <w:p w:rsidR="00F13927" w:rsidRPr="007B2FBD" w:rsidRDefault="00F13927" w:rsidP="00FD36A8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FBD">
        <w:rPr>
          <w:color w:val="000000"/>
          <w:sz w:val="28"/>
          <w:szCs w:val="28"/>
        </w:rPr>
        <w:t>ИТОГО</w:t>
      </w:r>
    </w:p>
    <w:p w:rsidR="00F13927" w:rsidRPr="007B2FBD" w:rsidRDefault="00F13927" w:rsidP="00FD36A8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FBD">
        <w:rPr>
          <w:color w:val="000000"/>
          <w:sz w:val="28"/>
          <w:szCs w:val="28"/>
        </w:rPr>
        <w:t>7 386,3 руб. (5 772,6 + 1 613,7)</w:t>
      </w:r>
    </w:p>
    <w:p w:rsidR="00F13927" w:rsidRPr="007B2FBD" w:rsidRDefault="00AC444F" w:rsidP="00CD12B5">
      <w:pPr>
        <w:shd w:val="clear" w:color="auto" w:fill="FFFFFF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Также, на 2024-2026 годы в Якутии </w:t>
      </w:r>
      <w:r w:rsidRPr="007B2F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установлены </w:t>
      </w:r>
      <w:r w:rsidRPr="00626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пониженные налоговые ставки по упрощенной системе налогообложения (УСН)</w:t>
      </w:r>
      <w:r w:rsidRPr="0062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2024-2026 годы для отдельных категорий налогоплательщиков по 12 видам экономической деятельности</w:t>
      </w:r>
      <w:r w:rsidRPr="007B2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6ECC" w:rsidRPr="00626ECC" w:rsidRDefault="00626ECC" w:rsidP="00626ECC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утилизация отходов;</w:t>
      </w:r>
    </w:p>
    <w:p w:rsidR="00626ECC" w:rsidRPr="00626ECC" w:rsidRDefault="00626ECC" w:rsidP="00626ECC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вторсырья;</w:t>
      </w:r>
    </w:p>
    <w:p w:rsidR="00626ECC" w:rsidRPr="00626ECC" w:rsidRDefault="00626ECC" w:rsidP="00626ECC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пассажирские автобусные перевозки;</w:t>
      </w:r>
    </w:p>
    <w:p w:rsidR="00626ECC" w:rsidRPr="00626ECC" w:rsidRDefault="00626ECC" w:rsidP="00626ECC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гостиницы, общественное питание;</w:t>
      </w:r>
    </w:p>
    <w:p w:rsidR="00626ECC" w:rsidRPr="00626ECC" w:rsidRDefault="00626ECC" w:rsidP="00626ECC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издательская деятельность;</w:t>
      </w:r>
    </w:p>
    <w:p w:rsidR="00626ECC" w:rsidRPr="00626ECC" w:rsidRDefault="00626ECC" w:rsidP="00626ECC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кинофильмов;</w:t>
      </w:r>
    </w:p>
    <w:p w:rsidR="00626ECC" w:rsidRPr="00626ECC" w:rsidRDefault="00626ECC" w:rsidP="00626ECC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образование;</w:t>
      </w:r>
    </w:p>
    <w:p w:rsidR="00626ECC" w:rsidRPr="00626ECC" w:rsidRDefault="00626ECC" w:rsidP="00626ECC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в области спорта и отдыха;</w:t>
      </w:r>
    </w:p>
    <w:p w:rsidR="00626ECC" w:rsidRPr="00626ECC" w:rsidRDefault="00626ECC" w:rsidP="00626ECC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в области культуры;</w:t>
      </w:r>
    </w:p>
    <w:p w:rsidR="00626ECC" w:rsidRPr="00626ECC" w:rsidRDefault="00626ECC" w:rsidP="00626ECC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уходу;</w:t>
      </w:r>
    </w:p>
    <w:p w:rsidR="00626ECC" w:rsidRPr="00626ECC" w:rsidRDefault="00626ECC" w:rsidP="00626ECC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социальных услуг;</w:t>
      </w:r>
    </w:p>
    <w:p w:rsidR="00626ECC" w:rsidRPr="00626ECC" w:rsidRDefault="00626ECC" w:rsidP="00626ECC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области спорта.</w:t>
      </w:r>
    </w:p>
    <w:p w:rsidR="00626ECC" w:rsidRPr="00626ECC" w:rsidRDefault="00626ECC" w:rsidP="00626EC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этих видов деятельности ставки установлены в размере 2,7% при объекте налогообложения «доходы» и 6,7% — «доходы минус расходы». Пониженные ставки сохранятся до 2026 года.</w:t>
      </w:r>
    </w:p>
    <w:p w:rsidR="00626ECC" w:rsidRDefault="007B2FBD" w:rsidP="00CD12B5">
      <w:pPr>
        <w:shd w:val="clear" w:color="auto" w:fill="FFFFFF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более подробной информацией и консультацией вы можете обратиться по тел. 8 800 222 22 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(ФНС)</w:t>
      </w:r>
      <w:r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вопросам налоговых льгот, по тел. 8(4112) 34565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(СФР) </w:t>
      </w:r>
      <w:r w:rsidRPr="007B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вопросу предоставления льгот по страховым взносам. </w:t>
      </w:r>
    </w:p>
    <w:p w:rsidR="007B2FBD" w:rsidRDefault="007B2FBD" w:rsidP="00CD12B5">
      <w:pPr>
        <w:shd w:val="clear" w:color="auto" w:fill="FFFFFF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также, по тел. 8(41136) 32233 (</w:t>
      </w:r>
      <w:r w:rsidR="00FD3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 «ЦРП»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по вопросам оптимизации налогов, подбора системы налогообложения с учетом индивидуальных особенностей бизнеса</w:t>
      </w:r>
    </w:p>
    <w:p w:rsidR="00626ECC" w:rsidRDefault="00FD36A8" w:rsidP="00CD12B5">
      <w:pPr>
        <w:shd w:val="clear" w:color="auto" w:fill="FFFFFF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Юлия Добровольская</w:t>
      </w:r>
    </w:p>
    <w:p w:rsidR="00FD36A8" w:rsidRDefault="00FD36A8" w:rsidP="00CD12B5">
      <w:pPr>
        <w:shd w:val="clear" w:color="auto" w:fill="FFFFFF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муниципального автономного учреждения</w:t>
      </w:r>
    </w:p>
    <w:p w:rsidR="00FD36A8" w:rsidRPr="007B2FBD" w:rsidRDefault="00FD36A8" w:rsidP="00CD12B5">
      <w:pPr>
        <w:shd w:val="clear" w:color="auto" w:fill="FFFFFF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«Центр развития предпринимательских и общественных инициатив»</w:t>
      </w:r>
    </w:p>
    <w:p w:rsidR="00626ECC" w:rsidRPr="007B2FBD" w:rsidRDefault="00626ECC" w:rsidP="00CD12B5">
      <w:pPr>
        <w:shd w:val="clear" w:color="auto" w:fill="FFFFFF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2FBD" w:rsidRPr="007B2FBD" w:rsidRDefault="007B2FBD" w:rsidP="00CD12B5">
      <w:pPr>
        <w:shd w:val="clear" w:color="auto" w:fill="FFFFFF"/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2FBD" w:rsidRDefault="007B2FBD" w:rsidP="00CD12B5">
      <w:pPr>
        <w:shd w:val="clear" w:color="auto" w:fill="FFFFFF"/>
        <w:spacing w:before="360" w:after="360" w:line="240" w:lineRule="auto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457D71" w:rsidRDefault="00457D71" w:rsidP="00CD12B5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720D55" w:rsidRPr="00CD12B5" w:rsidRDefault="00720D55" w:rsidP="00CD12B5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sectPr w:rsidR="00720D55" w:rsidRPr="00CD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13A0"/>
    <w:multiLevelType w:val="multilevel"/>
    <w:tmpl w:val="2726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C544A"/>
    <w:multiLevelType w:val="hybridMultilevel"/>
    <w:tmpl w:val="C7CC5AB8"/>
    <w:lvl w:ilvl="0" w:tplc="3CAA95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273A0"/>
    <w:multiLevelType w:val="multilevel"/>
    <w:tmpl w:val="0110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91D0D"/>
    <w:multiLevelType w:val="multilevel"/>
    <w:tmpl w:val="7F64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B030F6"/>
    <w:multiLevelType w:val="multilevel"/>
    <w:tmpl w:val="1B60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6B"/>
    <w:rsid w:val="000326F8"/>
    <w:rsid w:val="00077D5C"/>
    <w:rsid w:val="002D5E44"/>
    <w:rsid w:val="0036047A"/>
    <w:rsid w:val="00373CF1"/>
    <w:rsid w:val="0038370B"/>
    <w:rsid w:val="00440791"/>
    <w:rsid w:val="00446DFC"/>
    <w:rsid w:val="00457D71"/>
    <w:rsid w:val="00521961"/>
    <w:rsid w:val="005F409F"/>
    <w:rsid w:val="0061666F"/>
    <w:rsid w:val="00626ECC"/>
    <w:rsid w:val="00720D55"/>
    <w:rsid w:val="007458BB"/>
    <w:rsid w:val="007B2FBD"/>
    <w:rsid w:val="00826164"/>
    <w:rsid w:val="008A639E"/>
    <w:rsid w:val="008E59C8"/>
    <w:rsid w:val="009833BB"/>
    <w:rsid w:val="009A39CB"/>
    <w:rsid w:val="009B2ECB"/>
    <w:rsid w:val="00AC444F"/>
    <w:rsid w:val="00C244E5"/>
    <w:rsid w:val="00CD12B5"/>
    <w:rsid w:val="00CF7D13"/>
    <w:rsid w:val="00D27B24"/>
    <w:rsid w:val="00D43B6B"/>
    <w:rsid w:val="00E811D4"/>
    <w:rsid w:val="00E967EB"/>
    <w:rsid w:val="00F13927"/>
    <w:rsid w:val="00FC005D"/>
    <w:rsid w:val="00F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5980"/>
  <w15:chartTrackingRefBased/>
  <w15:docId w15:val="{6B6EB783-BF6A-49E9-A5CE-792C1FC0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21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9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2E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9833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3BB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27B24"/>
    <w:rPr>
      <w:b/>
      <w:bCs/>
    </w:rPr>
  </w:style>
  <w:style w:type="paragraph" w:customStyle="1" w:styleId="blockblock-3c">
    <w:name w:val="block__block-3c"/>
    <w:basedOn w:val="a"/>
    <w:rsid w:val="00F1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WS-soc</dc:creator>
  <cp:keywords/>
  <dc:description/>
  <cp:lastModifiedBy>Андреевский Сергей Иванович</cp:lastModifiedBy>
  <cp:revision>11</cp:revision>
  <cp:lastPrinted>2024-04-03T05:58:00Z</cp:lastPrinted>
  <dcterms:created xsi:type="dcterms:W3CDTF">2024-03-27T05:58:00Z</dcterms:created>
  <dcterms:modified xsi:type="dcterms:W3CDTF">2024-04-26T01:37:00Z</dcterms:modified>
</cp:coreProperties>
</file>