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2E" w:rsidRDefault="0099390D">
      <w:pPr>
        <w:pStyle w:val="a5"/>
        <w:spacing w:beforeAutospacing="0" w:after="0" w:afterAutospacing="0"/>
        <w:ind w:firstLine="567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Информация о проведенном заседании межведомственной </w:t>
      </w:r>
    </w:p>
    <w:p w:rsidR="00FD412E" w:rsidRDefault="0099390D">
      <w:pPr>
        <w:pStyle w:val="a5"/>
        <w:spacing w:beforeAutospacing="0" w:after="0" w:afterAutospacing="0"/>
        <w:ind w:firstLine="567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рабочей группы по повышению финансовой доступности на территории Республики Саха (Якутия)</w:t>
      </w:r>
    </w:p>
    <w:p w:rsidR="00FD412E" w:rsidRDefault="0099390D">
      <w:pPr>
        <w:pStyle w:val="a5"/>
        <w:spacing w:after="0" w:line="360" w:lineRule="auto"/>
        <w:ind w:firstLine="567"/>
        <w:jc w:val="both"/>
        <w:rPr>
          <w:color w:val="000000" w:themeColor="text1"/>
          <w:sz w:val="28"/>
        </w:rPr>
      </w:pPr>
      <w:bookmarkStart w:id="0" w:name="_GoBack"/>
      <w:bookmarkEnd w:id="0"/>
      <w:r>
        <w:rPr>
          <w:color w:val="000000" w:themeColor="text1"/>
          <w:sz w:val="28"/>
        </w:rPr>
        <w:t xml:space="preserve">06.02.2024 состоялось очередное заседание межведомственной рабочей группы по повышению финансовой доступности </w:t>
      </w:r>
      <w:r>
        <w:rPr>
          <w:color w:val="000000" w:themeColor="text1"/>
          <w:sz w:val="28"/>
        </w:rPr>
        <w:t>на территории Республики Саха (Якутия). Членами межведомственной рабочей группы являются: Правительство Республики Саха (Якутия), Отделение - Национальный банк по Республике Саха (Якутия) Дальневосточного главного управления Центрального банка Российской Ф</w:t>
      </w:r>
      <w:r>
        <w:rPr>
          <w:color w:val="000000" w:themeColor="text1"/>
          <w:sz w:val="28"/>
        </w:rPr>
        <w:t>едерации, кредитные организации.</w:t>
      </w:r>
    </w:p>
    <w:p w:rsidR="00FD412E" w:rsidRDefault="0099390D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данном заседании Отделение-НБ Республика Саха (Якутия) проинформировало о реализации на территории </w:t>
      </w:r>
      <w:proofErr w:type="spellStart"/>
      <w:r>
        <w:rPr>
          <w:rFonts w:ascii="Times New Roman" w:hAnsi="Times New Roman"/>
          <w:sz w:val="28"/>
        </w:rPr>
        <w:t>Хангаласского</w:t>
      </w:r>
      <w:proofErr w:type="spellEnd"/>
      <w:r>
        <w:rPr>
          <w:rFonts w:ascii="Times New Roman" w:hAnsi="Times New Roman"/>
          <w:sz w:val="28"/>
        </w:rPr>
        <w:t xml:space="preserve"> района во второй половине 2023 года пилотного проекта «Безналичный регион». На 01.09.2023 платные услуги на</w:t>
      </w:r>
      <w:r>
        <w:rPr>
          <w:rFonts w:ascii="Times New Roman" w:hAnsi="Times New Roman"/>
          <w:sz w:val="28"/>
        </w:rPr>
        <w:t xml:space="preserve">селению оказывала 61 организация и учреждение, осуществляющие свою деятельность на территории </w:t>
      </w:r>
      <w:proofErr w:type="spellStart"/>
      <w:r>
        <w:rPr>
          <w:rFonts w:ascii="Times New Roman" w:hAnsi="Times New Roman"/>
          <w:sz w:val="28"/>
        </w:rPr>
        <w:t>Хангаласского</w:t>
      </w:r>
      <w:proofErr w:type="spellEnd"/>
      <w:r>
        <w:rPr>
          <w:rFonts w:ascii="Times New Roman" w:hAnsi="Times New Roman"/>
          <w:sz w:val="28"/>
        </w:rPr>
        <w:t xml:space="preserve"> района. По состоянию на начало 2024 года подразделениями кредитных организаций заключено 38 договоров на осуществление приема оплаты за товары и/или</w:t>
      </w:r>
      <w:r>
        <w:rPr>
          <w:rFonts w:ascii="Times New Roman" w:hAnsi="Times New Roman"/>
          <w:sz w:val="28"/>
        </w:rPr>
        <w:t xml:space="preserve"> услуги безналичным способом, что составляет 62,3% от общего количества. </w:t>
      </w:r>
    </w:p>
    <w:p w:rsidR="00FD412E" w:rsidRDefault="0099390D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Также, озвучены результаты проведенной работы по повышению уровня финансовой доступности в 78 населенных пунктах с численностью населения более 100 человек с уровнями финансовой дост</w:t>
      </w:r>
      <w:r>
        <w:rPr>
          <w:rFonts w:ascii="Times New Roman" w:hAnsi="Times New Roman"/>
          <w:sz w:val="28"/>
        </w:rPr>
        <w:t xml:space="preserve">упности «ниже среднего» и «средний», связанной с решением заседания </w:t>
      </w:r>
      <w:r>
        <w:rPr>
          <w:rFonts w:ascii="Times New Roman" w:hAnsi="Times New Roman"/>
          <w:color w:val="000000" w:themeColor="text1"/>
          <w:sz w:val="28"/>
        </w:rPr>
        <w:t xml:space="preserve">межведомственной рабочей группы по повышению финансовой доступности на территории Республики Саха (Якутия), проведенного 26.06.2023. </w:t>
      </w:r>
    </w:p>
    <w:p w:rsidR="00FD412E" w:rsidRDefault="0099390D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sz w:val="28"/>
        </w:rPr>
        <w:t xml:space="preserve">Улучшение уровня финансовой доступности зафиксировано </w:t>
      </w:r>
      <w:r>
        <w:rPr>
          <w:rFonts w:ascii="Times New Roman" w:hAnsi="Times New Roman"/>
          <w:sz w:val="28"/>
        </w:rPr>
        <w:t xml:space="preserve">в 47 населенных пунктах (или 60,3% от общего числа предложенных). Причем, уровня «ниже среднего» достигли 14 населенных пунктов, уровня «средний» - 24 и уровня «выше среднего» - 9. В основном, по причине улучшения </w:t>
      </w:r>
      <w:r>
        <w:rPr>
          <w:rFonts w:ascii="Times New Roman" w:hAnsi="Times New Roman"/>
          <w:sz w:val="28"/>
        </w:rPr>
        <w:lastRenderedPageBreak/>
        <w:t>качества сети Интернет, а также возобновле</w:t>
      </w:r>
      <w:r>
        <w:rPr>
          <w:rFonts w:ascii="Times New Roman" w:hAnsi="Times New Roman"/>
          <w:sz w:val="28"/>
        </w:rPr>
        <w:t xml:space="preserve">ния деятельности отделений почтовой связи и </w:t>
      </w:r>
      <w:r>
        <w:rPr>
          <w:rFonts w:ascii="Times New Roman" w:hAnsi="Times New Roman"/>
          <w:sz w:val="28"/>
        </w:rPr>
        <w:t>окон АО «Почта Банк».</w:t>
      </w:r>
      <w:r>
        <w:rPr>
          <w:rFonts w:ascii="Times New Roman" w:hAnsi="Times New Roman"/>
          <w:color w:val="FF0000"/>
          <w:sz w:val="36"/>
        </w:rPr>
        <w:t xml:space="preserve">   </w:t>
      </w:r>
    </w:p>
    <w:p w:rsidR="00FD412E" w:rsidRDefault="0099390D">
      <w:pPr>
        <w:pStyle w:val="a5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В связи с тем, что мероприятия приносят действенные результаты на благо жителей отдаленных и труднодоступных территорий, решено продолжить работу в данном направлении и рассмотреть возмож</w:t>
      </w:r>
      <w:r>
        <w:rPr>
          <w:sz w:val="28"/>
        </w:rPr>
        <w:t xml:space="preserve">ность повышения уровня финансовой доступности в 49 населенных пунктах с численностью населения более 100 человек с уровнями финансовой доступности «ниже среднего» и «средний». </w:t>
      </w:r>
    </w:p>
    <w:p w:rsidR="00FD412E" w:rsidRDefault="0099390D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Члены </w:t>
      </w:r>
      <w:r>
        <w:rPr>
          <w:rFonts w:ascii="Times New Roman" w:hAnsi="Times New Roman"/>
          <w:b/>
          <w:color w:val="000000" w:themeColor="text1"/>
          <w:sz w:val="28"/>
        </w:rPr>
        <w:t>межведомственной рабочей группы по повышению финансовой доступности на те</w:t>
      </w:r>
      <w:r>
        <w:rPr>
          <w:rFonts w:ascii="Times New Roman" w:hAnsi="Times New Roman"/>
          <w:b/>
          <w:color w:val="000000" w:themeColor="text1"/>
          <w:sz w:val="28"/>
        </w:rPr>
        <w:t xml:space="preserve">рритории Республики Саха (Якутия) предлагают </w:t>
      </w:r>
      <w:r>
        <w:rPr>
          <w:rFonts w:ascii="Times New Roman" w:hAnsi="Times New Roman"/>
          <w:b/>
          <w:sz w:val="28"/>
        </w:rPr>
        <w:t>торгово-сервисным предприятиям, осуществляющим свою деятельность в нижеперечисленных населенных пунктах, обратиться в кредитные организации для заключения договора об использовании сервисов Системы быстрых плате</w:t>
      </w:r>
      <w:r>
        <w:rPr>
          <w:rFonts w:ascii="Times New Roman" w:hAnsi="Times New Roman"/>
          <w:b/>
          <w:sz w:val="28"/>
        </w:rPr>
        <w:t>жей и/или внедрении сервиса «Наличные на кассе» («</w:t>
      </w:r>
      <w:proofErr w:type="spellStart"/>
      <w:r>
        <w:rPr>
          <w:rFonts w:ascii="Times New Roman" w:hAnsi="Times New Roman"/>
          <w:b/>
          <w:sz w:val="28"/>
        </w:rPr>
        <w:t>Сash-out</w:t>
      </w:r>
      <w:proofErr w:type="spellEnd"/>
      <w:r>
        <w:rPr>
          <w:rFonts w:ascii="Times New Roman" w:hAnsi="Times New Roman"/>
          <w:b/>
          <w:sz w:val="28"/>
        </w:rPr>
        <w:t xml:space="preserve">»). </w:t>
      </w:r>
    </w:p>
    <w:p w:rsidR="00FD412E" w:rsidRDefault="0099390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 возникновении сложностей Отделение-НБ Республика Саха(Якутия) просит направить обращение на электронную почту </w:t>
      </w:r>
      <w:hyperlink r:id="rId4" w:history="1">
        <w:r>
          <w:rPr>
            <w:rStyle w:val="a7"/>
            <w:rFonts w:ascii="Times New Roman" w:hAnsi="Times New Roman"/>
            <w:sz w:val="28"/>
          </w:rPr>
          <w:t>98svc_opsrbox@cbr.ru</w:t>
        </w:r>
      </w:hyperlink>
      <w:r>
        <w:rPr>
          <w:rFonts w:ascii="Times New Roman" w:hAnsi="Times New Roman"/>
          <w:sz w:val="28"/>
        </w:rPr>
        <w:t xml:space="preserve">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320"/>
        <w:gridCol w:w="1540"/>
        <w:gridCol w:w="600"/>
        <w:gridCol w:w="2300"/>
        <w:gridCol w:w="1720"/>
      </w:tblGrid>
      <w:tr w:rsidR="00FD412E">
        <w:trPr>
          <w:trHeight w:val="2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2E" w:rsidRDefault="00FD412E">
            <w:pPr>
              <w:spacing w:after="0" w:line="240" w:lineRule="auto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2E" w:rsidRDefault="0099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Улус/район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2E" w:rsidRDefault="0099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населенный пункт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2E" w:rsidRDefault="00FD412E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2E" w:rsidRDefault="0099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Улус/район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12E" w:rsidRDefault="0099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населенный пункт</w:t>
            </w:r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Алданский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Нюрбинский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Киров</w:t>
            </w:r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Аллаиховский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Русское Устье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Оймяконский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Терют</w:t>
            </w:r>
            <w:proofErr w:type="spellEnd"/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Амгинский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Серге-Бэс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Олекминский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Уолбут</w:t>
            </w:r>
            <w:proofErr w:type="spellEnd"/>
          </w:p>
        </w:tc>
      </w:tr>
      <w:tr w:rsidR="00FD412E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Булунский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Сиктях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Олекминский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Даппарай</w:t>
            </w:r>
            <w:proofErr w:type="spellEnd"/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Верхневилюйский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Быракан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Олекминский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Бирюк</w:t>
            </w:r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Верхоянский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Олекминский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Тас</w:t>
            </w:r>
            <w:proofErr w:type="spellEnd"/>
            <w:r>
              <w:rPr>
                <w:rFonts w:ascii="Times New Roman" w:hAnsi="Times New Roman"/>
                <w:sz w:val="20"/>
              </w:rPr>
              <w:t>-Анна</w:t>
            </w:r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Верхоянский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Токума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Сунтарский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Тенкя</w:t>
            </w:r>
            <w:proofErr w:type="spellEnd"/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Верхоянский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Эсэ-Хайя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Сунтарский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Туойдах</w:t>
            </w:r>
            <w:proofErr w:type="spellEnd"/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Верхоянский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Черюмче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Сунтарский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Тюбяй</w:t>
            </w:r>
            <w:proofErr w:type="spellEnd"/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Верхоянский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Осохтох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Томпонский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Ударник</w:t>
            </w:r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Верхоянский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Сайды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Томпонский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</w:t>
            </w:r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Верхоянский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Хайысардах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Томпонский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Сайды</w:t>
            </w:r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Верхоянский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Юттях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Усть-Алданский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Бяди</w:t>
            </w:r>
            <w:proofErr w:type="spellEnd"/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Жиганский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Кыстатыам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Усть-Алданский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Окоемовка</w:t>
            </w:r>
            <w:proofErr w:type="spellEnd"/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Кобяйский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Кальвица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Усть-Алданский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Сасылыкан</w:t>
            </w:r>
            <w:proofErr w:type="spellEnd"/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Кобяйский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Арылах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Усть-Алданский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Хоногор</w:t>
            </w:r>
            <w:proofErr w:type="spellEnd"/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Ленский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Турукта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Усть</w:t>
            </w:r>
            <w:proofErr w:type="spellEnd"/>
            <w:r>
              <w:rPr>
                <w:rFonts w:ascii="Times New Roman" w:hAnsi="Times New Roman"/>
                <w:sz w:val="20"/>
              </w:rPr>
              <w:t>-Янский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Сайылык</w:t>
            </w:r>
            <w:proofErr w:type="spellEnd"/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Ленский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Иннялы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Усть</w:t>
            </w:r>
            <w:proofErr w:type="spellEnd"/>
            <w:r>
              <w:rPr>
                <w:rFonts w:ascii="Times New Roman" w:hAnsi="Times New Roman"/>
                <w:sz w:val="20"/>
              </w:rPr>
              <w:t>-Янский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Юкагир</w:t>
            </w:r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Ленский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Толон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Хангаласский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Тойон-Ары</w:t>
            </w:r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Ленский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Ярославский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Хангаласский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Чкалов</w:t>
            </w:r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Мегино-Кангаласский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Елечей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Хангаласский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Тумул</w:t>
            </w:r>
            <w:proofErr w:type="spellEnd"/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Мегино-Кангаласский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Хапчагай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Чурапчинский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</w:rPr>
              <w:t>Улахан-Кюель</w:t>
            </w:r>
            <w:proofErr w:type="spellEnd"/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Мегино-Кангаласский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Хатылыма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Чурапчинский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с.Огусур</w:t>
            </w:r>
            <w:proofErr w:type="spellEnd"/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Намский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Сыгыннах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Эвено-Бытантайский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Джаргалах</w:t>
            </w:r>
            <w:proofErr w:type="spellEnd"/>
          </w:p>
        </w:tc>
      </w:tr>
      <w:tr w:rsidR="00FD412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Нюрбинский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412E" w:rsidRDefault="009939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Едей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FD41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FD41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2E" w:rsidRDefault="00FD41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</w:tr>
    </w:tbl>
    <w:p w:rsidR="00FD412E" w:rsidRDefault="0099390D">
      <w:pPr>
        <w:rPr>
          <w:rFonts w:ascii="Times New Roman" w:hAnsi="Times New Roman"/>
        </w:rPr>
      </w:pPr>
      <w:r>
        <w:rPr>
          <w:rFonts w:ascii="Times New Roman" w:hAnsi="Times New Roman"/>
        </w:rPr>
        <w:t>## финансовая доступность## ##</w:t>
      </w:r>
      <w:r>
        <w:rPr>
          <w:rFonts w:ascii="Times New Roman" w:hAnsi="Times New Roman"/>
        </w:rPr>
        <w:t xml:space="preserve"> повышение финансовой доступности в Республике Саха (Якутия) ##   ## межведомственная рабочая группа по повышению финансовой доступности в Республике Саха (Якутия) ###     </w:t>
      </w:r>
    </w:p>
    <w:sectPr w:rsidR="00FD412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2E"/>
    <w:rsid w:val="0099390D"/>
    <w:rsid w:val="00F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A0C93-389C-41DB-8D55-D61CEDD5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Сильное выделение1"/>
    <w:basedOn w:val="12"/>
    <w:link w:val="a8"/>
    <w:rPr>
      <w:i/>
      <w:color w:val="5B9BD5" w:themeColor="accent1"/>
    </w:rPr>
  </w:style>
  <w:style w:type="character" w:styleId="a8">
    <w:name w:val="Intense Emphasis"/>
    <w:basedOn w:val="a0"/>
    <w:link w:val="16"/>
    <w:rPr>
      <w:i/>
      <w:color w:val="5B9BD5" w:themeColor="accent1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8svc_opsrbox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Наталья Юрьевна</dc:creator>
  <cp:lastModifiedBy>Корепанова Наталья Юрьевна</cp:lastModifiedBy>
  <cp:revision>2</cp:revision>
  <dcterms:created xsi:type="dcterms:W3CDTF">2024-04-16T00:17:00Z</dcterms:created>
  <dcterms:modified xsi:type="dcterms:W3CDTF">2024-04-16T00:17:00Z</dcterms:modified>
</cp:coreProperties>
</file>