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B060BD" w:rsidTr="00B060BD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060BD" w:rsidRDefault="00B060BD">
            <w:pPr>
              <w:keepNext/>
              <w:widowControl/>
              <w:tabs>
                <w:tab w:val="center" w:pos="2090"/>
                <w:tab w:val="right" w:pos="4180"/>
              </w:tabs>
              <w:outlineLvl w:val="2"/>
              <w:rPr>
                <w:rFonts w:eastAsia="Arial Unicode MS"/>
                <w:b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eastAsia="Arial Unicode MS"/>
                <w:b/>
                <w:sz w:val="22"/>
                <w:szCs w:val="24"/>
              </w:rPr>
              <w:tab/>
              <w:t>Российская Федерация</w:t>
            </w:r>
            <w:r>
              <w:rPr>
                <w:rFonts w:eastAsia="Arial Unicode MS"/>
                <w:b/>
                <w:sz w:val="22"/>
                <w:szCs w:val="24"/>
              </w:rPr>
              <w:tab/>
            </w:r>
          </w:p>
          <w:p w:rsidR="00B060BD" w:rsidRDefault="00B060BD">
            <w:pPr>
              <w:widowControl/>
              <w:jc w:val="center"/>
              <w:rPr>
                <w:rFonts w:eastAsia="Arial Unicode MS"/>
                <w:b/>
                <w:sz w:val="22"/>
                <w:szCs w:val="24"/>
              </w:rPr>
            </w:pPr>
            <w:r>
              <w:rPr>
                <w:rFonts w:eastAsia="Arial Unicode MS"/>
                <w:b/>
                <w:sz w:val="22"/>
                <w:szCs w:val="24"/>
              </w:rPr>
              <w:t>Республика Саха (Якутия)</w:t>
            </w:r>
          </w:p>
          <w:p w:rsidR="00B060BD" w:rsidRDefault="00B060BD">
            <w:pPr>
              <w:widowControl/>
              <w:jc w:val="center"/>
              <w:rPr>
                <w:rFonts w:eastAsia="Arial Unicode MS"/>
                <w:b/>
                <w:sz w:val="22"/>
                <w:szCs w:val="24"/>
              </w:rPr>
            </w:pPr>
            <w:proofErr w:type="spellStart"/>
            <w:r>
              <w:rPr>
                <w:rFonts w:eastAsia="Arial Unicode MS"/>
                <w:b/>
                <w:sz w:val="22"/>
                <w:szCs w:val="24"/>
              </w:rPr>
              <w:t>Мирнинский</w:t>
            </w:r>
            <w:proofErr w:type="spellEnd"/>
            <w:r>
              <w:rPr>
                <w:rFonts w:eastAsia="Arial Unicode MS"/>
                <w:b/>
                <w:sz w:val="22"/>
                <w:szCs w:val="24"/>
              </w:rPr>
              <w:t xml:space="preserve"> район</w:t>
            </w:r>
          </w:p>
          <w:p w:rsidR="00B060BD" w:rsidRDefault="00B060BD">
            <w:pPr>
              <w:widowControl/>
              <w:jc w:val="center"/>
              <w:rPr>
                <w:b/>
                <w:sz w:val="8"/>
                <w:szCs w:val="8"/>
              </w:rPr>
            </w:pPr>
          </w:p>
          <w:p w:rsidR="00B060BD" w:rsidRDefault="00B060BD">
            <w:pPr>
              <w:keepNext/>
              <w:widowControl/>
              <w:jc w:val="center"/>
              <w:outlineLvl w:val="2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АДМИНИСТРАЦИЯ</w:t>
            </w:r>
          </w:p>
          <w:p w:rsidR="00B060BD" w:rsidRDefault="00B060BD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ОБРАЗОВАНИЯ</w:t>
            </w:r>
          </w:p>
          <w:p w:rsidR="00B060BD" w:rsidRDefault="00B060BD">
            <w:pPr>
              <w:widowControl/>
              <w:jc w:val="center"/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060BD" w:rsidRDefault="00B060BD">
            <w:pPr>
              <w:widowControl/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4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060BD" w:rsidRDefault="00B060BD">
            <w:pPr>
              <w:widowControl/>
              <w:jc w:val="center"/>
              <w:rPr>
                <w:b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Россия </w:t>
            </w:r>
            <w:proofErr w:type="spellStart"/>
            <w:r>
              <w:rPr>
                <w:b/>
                <w:sz w:val="22"/>
                <w:szCs w:val="24"/>
              </w:rPr>
              <w:t>Федерацията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  <w:p w:rsidR="00B060BD" w:rsidRDefault="00B060BD">
            <w:pPr>
              <w:widowControl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Саха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B060BD" w:rsidRDefault="00B060BD">
            <w:pPr>
              <w:widowControl/>
              <w:jc w:val="center"/>
              <w:rPr>
                <w:b/>
                <w:sz w:val="22"/>
                <w:szCs w:val="24"/>
              </w:rPr>
            </w:pPr>
            <w:proofErr w:type="spellStart"/>
            <w:r>
              <w:rPr>
                <w:b/>
                <w:sz w:val="22"/>
                <w:szCs w:val="24"/>
              </w:rPr>
              <w:t>Мииринэй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оройуона</w:t>
            </w:r>
            <w:proofErr w:type="spellEnd"/>
          </w:p>
          <w:p w:rsidR="00B060BD" w:rsidRDefault="00B060BD">
            <w:pPr>
              <w:widowControl/>
              <w:jc w:val="center"/>
              <w:rPr>
                <w:b/>
                <w:sz w:val="8"/>
                <w:szCs w:val="8"/>
              </w:rPr>
            </w:pPr>
          </w:p>
          <w:p w:rsidR="00B060BD" w:rsidRDefault="00B060BD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Чернышевскай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бө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b/>
                <w:sz w:val="22"/>
                <w:szCs w:val="22"/>
              </w:rPr>
              <w:t>үөлэгэ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B060BD" w:rsidRDefault="00B060BD">
            <w:pPr>
              <w:widowControl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МУНИЦИПАЛЬНАЙ ТЭРИЛЛИИ</w:t>
            </w:r>
          </w:p>
          <w:p w:rsidR="00B060BD" w:rsidRDefault="00B060B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ДЬА</w:t>
            </w:r>
            <w:r>
              <w:rPr>
                <w:b/>
                <w:sz w:val="22"/>
                <w:szCs w:val="24"/>
                <w:lang w:val="en-US"/>
              </w:rPr>
              <w:t>h</w:t>
            </w:r>
            <w:r>
              <w:rPr>
                <w:b/>
                <w:sz w:val="22"/>
                <w:szCs w:val="24"/>
              </w:rPr>
              <w:t>АЛТАТА</w:t>
            </w:r>
          </w:p>
        </w:tc>
      </w:tr>
    </w:tbl>
    <w:p w:rsidR="00B060BD" w:rsidRDefault="00B060BD" w:rsidP="00B060BD">
      <w:pPr>
        <w:widowControl/>
        <w:tabs>
          <w:tab w:val="center" w:pos="4818"/>
          <w:tab w:val="right" w:pos="963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678185, </w:t>
      </w:r>
      <w:proofErr w:type="spellStart"/>
      <w:r>
        <w:rPr>
          <w:sz w:val="18"/>
          <w:szCs w:val="18"/>
        </w:rPr>
        <w:t>Мирнинский</w:t>
      </w:r>
      <w:proofErr w:type="spellEnd"/>
      <w:r>
        <w:rPr>
          <w:sz w:val="18"/>
          <w:szCs w:val="18"/>
        </w:rPr>
        <w:t xml:space="preserve"> район,   п.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</w:t>
      </w:r>
    </w:p>
    <w:p w:rsidR="00B060BD" w:rsidRDefault="00B060BD" w:rsidP="00B060BD">
      <w:pPr>
        <w:widowControl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Телефон 7-32-59, факс 7-20-89.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ok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B060BD" w:rsidRDefault="00B060BD" w:rsidP="00B060BD">
      <w:pPr>
        <w:widowControl/>
        <w:jc w:val="center"/>
        <w:rPr>
          <w:b/>
          <w:bCs/>
          <w:color w:val="FF0000"/>
          <w:sz w:val="28"/>
          <w:szCs w:val="28"/>
        </w:rPr>
      </w:pPr>
    </w:p>
    <w:p w:rsidR="00B060BD" w:rsidRDefault="00B060BD" w:rsidP="00B060BD">
      <w:pPr>
        <w:widowControl/>
        <w:rPr>
          <w:b/>
          <w:bCs/>
          <w:color w:val="FF0000"/>
          <w:sz w:val="28"/>
          <w:szCs w:val="28"/>
        </w:rPr>
      </w:pPr>
    </w:p>
    <w:p w:rsidR="00B060BD" w:rsidRDefault="00B060BD" w:rsidP="00B060BD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B060BD" w:rsidRDefault="00B060BD" w:rsidP="00B060BD">
      <w:pPr>
        <w:widowControl/>
        <w:tabs>
          <w:tab w:val="left" w:pos="376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060BD" w:rsidRDefault="00B060BD" w:rsidP="00B060BD">
      <w:pPr>
        <w:widowControl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№____54____от «___18__» _____04_______2022г. </w:t>
      </w:r>
    </w:p>
    <w:p w:rsidR="00B060BD" w:rsidRDefault="00B060BD" w:rsidP="00B060BD">
      <w:pPr>
        <w:widowControl/>
        <w:rPr>
          <w:sz w:val="24"/>
          <w:szCs w:val="24"/>
        </w:rPr>
      </w:pPr>
    </w:p>
    <w:p w:rsidR="00B060BD" w:rsidRDefault="00B060BD" w:rsidP="00B060BD">
      <w:pPr>
        <w:rPr>
          <w:color w:val="FF0000"/>
        </w:rPr>
      </w:pPr>
    </w:p>
    <w:p w:rsidR="00B060BD" w:rsidRDefault="00B060BD" w:rsidP="00B060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 очередного весеннего призыва </w:t>
      </w:r>
    </w:p>
    <w:p w:rsidR="00B060BD" w:rsidRDefault="00B060BD" w:rsidP="00B060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военную службу граждан, подлежащих призыву,</w:t>
      </w:r>
    </w:p>
    <w:p w:rsidR="00B060BD" w:rsidRDefault="00B060BD" w:rsidP="00B060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родившихся в 2003 году, а также граждан 1992</w:t>
      </w:r>
    </w:p>
    <w:p w:rsidR="00B060BD" w:rsidRDefault="00B060BD" w:rsidP="00B060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- 2001 г.р., у которых истекли сроки ранее пред-</w:t>
      </w:r>
    </w:p>
    <w:p w:rsidR="00B060BD" w:rsidRDefault="00B060BD" w:rsidP="00B060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ставленых отсрочек и утерявших право на</w:t>
      </w:r>
    </w:p>
    <w:p w:rsidR="00B060BD" w:rsidRDefault="00B060BD" w:rsidP="00B060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отсрочки</w:t>
      </w:r>
    </w:p>
    <w:p w:rsidR="00B060BD" w:rsidRDefault="00B060BD" w:rsidP="00B060BD">
      <w:pPr>
        <w:widowControl/>
        <w:jc w:val="both"/>
        <w:rPr>
          <w:sz w:val="24"/>
          <w:szCs w:val="24"/>
        </w:rPr>
      </w:pPr>
    </w:p>
    <w:p w:rsidR="00B060BD" w:rsidRDefault="00B060BD" w:rsidP="00B060BD">
      <w:pPr>
        <w:jc w:val="both"/>
        <w:rPr>
          <w:sz w:val="28"/>
          <w:szCs w:val="28"/>
        </w:rPr>
      </w:pPr>
      <w:r>
        <w:rPr>
          <w:sz w:val="24"/>
        </w:rPr>
        <w:t xml:space="preserve">        </w:t>
      </w:r>
      <w:r>
        <w:rPr>
          <w:sz w:val="28"/>
          <w:szCs w:val="28"/>
        </w:rPr>
        <w:t>В соответствии с Федеральным законом Российской Федерации от 28 марта 1998г.  № 53 – ФЗ «О воинской обязанности и военной службе», на основании постановления Правительства Российской Федерации от 11 ноября 2006г. № 663  «Об утверждении Положения о призыве на военную службу граждан Российской Федерации»:</w:t>
      </w:r>
    </w:p>
    <w:p w:rsidR="00B060BD" w:rsidRDefault="00B060BD" w:rsidP="00B0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В период  с 01 апреля по 15 июля  2022 года организовать и провести призыв  на военную службу граждан Российской Федерации мужского пола в возрасте от 18 до 27 лет, состоящих на воинском учете или не состоящих, но обязанных состоять на воинском учете, не пребывающих в запасе.        </w:t>
      </w:r>
    </w:p>
    <w:p w:rsidR="00B060BD" w:rsidRDefault="00B060BD" w:rsidP="00B0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предприятий, организаций и общеобразовательных учреждений обеспечить своевременную и организационную явку граждан, подлежащих призыву на военную службу. Не отправлять в командировки и отпуска за пределы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призывников, в отношении которых призывной комиссией вынесено решение о призыве с 01 апреля 2022года по 15 июля 2022 года.</w:t>
      </w:r>
    </w:p>
    <w:p w:rsidR="00B060BD" w:rsidRDefault="00B060BD" w:rsidP="00B060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врача  ГБУ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 МЦРБ  (ЧГБ) Мамаеву А.Ю.:</w:t>
      </w:r>
    </w:p>
    <w:p w:rsidR="00B060BD" w:rsidRDefault="00B060BD" w:rsidP="00B060B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 для проведения медицинского освидетельствования граждан, подлежащих призыву на военную службу, обеспечить наличие бланков анализов, реактивов, рентгеновской пленки, бумаги для электрокардиографа, спирта и дезинфицирующих материалов, а также исправность электрокардиографа и лабораторного оборудования;</w:t>
      </w:r>
    </w:p>
    <w:p w:rsidR="00B060BD" w:rsidRDefault="00B060BD" w:rsidP="00B060B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приказом ответственного работника за своевременное обследование,  лечение граждан, а также взаимодействие с военно-учетным столом.</w:t>
      </w:r>
    </w:p>
    <w:p w:rsidR="00B060BD" w:rsidRDefault="00B060BD" w:rsidP="00B060B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обследование всех граждан, вызванных на медицинскую, призывную комиссию (сдача общего анализа крови и мочи, снятие ЭКГ, </w:t>
      </w:r>
      <w:r>
        <w:rPr>
          <w:sz w:val="28"/>
          <w:szCs w:val="28"/>
        </w:rPr>
        <w:lastRenderedPageBreak/>
        <w:t>проведение флюорографии органов грудной клетки в 2-х проекциях), определение группы крови и резуса фактора, провести диагностические исследования в порядке и объеме, установленном Министерством обороны РФ совместно с Министерством здравоохранения РФ №240/168 от 23.05.2001г.</w:t>
      </w:r>
    </w:p>
    <w:p w:rsidR="00B060BD" w:rsidRDefault="00B060BD" w:rsidP="00B060BD">
      <w:pPr>
        <w:jc w:val="both"/>
        <w:rPr>
          <w:sz w:val="28"/>
          <w:szCs w:val="28"/>
        </w:rPr>
      </w:pPr>
      <w:r>
        <w:rPr>
          <w:sz w:val="24"/>
        </w:rPr>
        <w:t xml:space="preserve">          </w:t>
      </w:r>
      <w:r>
        <w:rPr>
          <w:sz w:val="28"/>
          <w:szCs w:val="28"/>
        </w:rPr>
        <w:t xml:space="preserve">4. Обязать инспектора ВУС администрации МО «Посёлок Чернышевский» О.Н. Телешеву:                                                                    </w:t>
      </w:r>
    </w:p>
    <w:p w:rsidR="00B060BD" w:rsidRDefault="00B060BD" w:rsidP="00B060BD">
      <w:pPr>
        <w:tabs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4"/>
        </w:rPr>
        <w:t xml:space="preserve">- </w:t>
      </w:r>
      <w:r>
        <w:rPr>
          <w:sz w:val="28"/>
          <w:szCs w:val="28"/>
        </w:rPr>
        <w:t>организовать оповещение граждан, подлежащих призыву, обеспечить вручение  повесток    лично   гражданам,  под роспись;</w:t>
      </w:r>
    </w:p>
    <w:p w:rsidR="00B060BD" w:rsidRDefault="00B060BD" w:rsidP="00B060BD">
      <w:pPr>
        <w:tabs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- 12 апреля 2022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обеспечить явку  граждан, подлежащих призыву на военную службу на заседание комиссии в Военный Комиссариат  города Мирный,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Анабарского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Оленёкского</w:t>
      </w:r>
      <w:proofErr w:type="spellEnd"/>
      <w:r>
        <w:rPr>
          <w:sz w:val="28"/>
          <w:szCs w:val="28"/>
        </w:rPr>
        <w:t xml:space="preserve"> улусов РС (Я));</w:t>
      </w:r>
    </w:p>
    <w:p w:rsidR="00B060BD" w:rsidRDefault="00B060BD" w:rsidP="00B060BD">
      <w:pPr>
        <w:tabs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рапорты с  документами, обосновывающими причины по каждому случаю неявки  граждан на районную комиссию по призыву   в обозначенный день.</w:t>
      </w:r>
    </w:p>
    <w:p w:rsidR="00B060BD" w:rsidRDefault="00B060BD" w:rsidP="00B060BD">
      <w:pPr>
        <w:jc w:val="both"/>
        <w:rPr>
          <w:sz w:val="28"/>
          <w:szCs w:val="28"/>
        </w:rPr>
      </w:pPr>
      <w:r>
        <w:rPr>
          <w:sz w:val="24"/>
        </w:rPr>
        <w:t xml:space="preserve">          </w:t>
      </w:r>
      <w:r>
        <w:rPr>
          <w:sz w:val="28"/>
          <w:szCs w:val="28"/>
        </w:rPr>
        <w:t xml:space="preserve">5. Начальнику  Чернышевского ПП  ОМВД России по </w:t>
      </w:r>
      <w:proofErr w:type="spellStart"/>
      <w:r>
        <w:rPr>
          <w:sz w:val="28"/>
          <w:szCs w:val="28"/>
        </w:rPr>
        <w:t>Мирнинскому</w:t>
      </w:r>
      <w:proofErr w:type="spellEnd"/>
      <w:r>
        <w:rPr>
          <w:sz w:val="28"/>
          <w:szCs w:val="28"/>
        </w:rPr>
        <w:t xml:space="preserve"> району подполковнику  полиции А.А. </w:t>
      </w:r>
      <w:proofErr w:type="spellStart"/>
      <w:r>
        <w:rPr>
          <w:sz w:val="28"/>
          <w:szCs w:val="28"/>
        </w:rPr>
        <w:t>Киньябаеву</w:t>
      </w:r>
      <w:proofErr w:type="spellEnd"/>
      <w:r>
        <w:rPr>
          <w:sz w:val="28"/>
          <w:szCs w:val="28"/>
        </w:rPr>
        <w:t>:</w:t>
      </w:r>
    </w:p>
    <w:p w:rsidR="00B060BD" w:rsidRDefault="00B060BD" w:rsidP="00B0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 1 апреля по 15 июля  2022 г. обеспечить выполнение ст.4 п.3 ФЗ «О воинской обязанности и военной службе», а также совместного приказа Министра обороны РФ, Министра внутренних дел РФ и Директора Федеральной миграционной службы № 366/789/177 от 10.09.2007г. в части розыска лиц, уклоняющихся от призыва на военную службу и не являющихся по повестке в военно-учетный</w:t>
      </w:r>
      <w:proofErr w:type="gramEnd"/>
      <w:r>
        <w:rPr>
          <w:sz w:val="28"/>
          <w:szCs w:val="28"/>
        </w:rPr>
        <w:t xml:space="preserve"> стол администрации МО «Посёлок Чернышевский»;</w:t>
      </w:r>
    </w:p>
    <w:p w:rsidR="00B060BD" w:rsidRDefault="00B060BD" w:rsidP="00B060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письменного обращения инспектора  Военно-учетного стола администрации МО «Посёлок Чернышевский» оказывать помощь в оповещении и розыске граждан, подлежащих призыву на военную службу;</w:t>
      </w:r>
    </w:p>
    <w:p w:rsidR="00B060BD" w:rsidRDefault="00B060BD" w:rsidP="00B060B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апреля 2022 г. выделить одного сотрудника полиции для сопровождения и поддержания общественного порядка граждан, подлежащих весеннему призыву на военную службу и прохождения медицинской комиссии  в  Военный Комиссариат  города Мирный,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Анабарского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Оленёкского</w:t>
      </w:r>
      <w:proofErr w:type="spellEnd"/>
      <w:r>
        <w:rPr>
          <w:sz w:val="28"/>
          <w:szCs w:val="28"/>
        </w:rPr>
        <w:t xml:space="preserve"> улусов РС (Я)) и обратно. </w:t>
      </w:r>
    </w:p>
    <w:p w:rsidR="00B060BD" w:rsidRDefault="00B060BD" w:rsidP="00B060B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ab/>
        <w:t xml:space="preserve"> Контроль исполнения данного постановления оставляю за собой.</w:t>
      </w:r>
    </w:p>
    <w:p w:rsidR="00B060BD" w:rsidRDefault="00B060BD" w:rsidP="00B060B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060BD" w:rsidRDefault="00B060BD" w:rsidP="00B060BD">
      <w:pPr>
        <w:rPr>
          <w:b/>
          <w:sz w:val="24"/>
        </w:rPr>
      </w:pPr>
    </w:p>
    <w:p w:rsidR="00B060BD" w:rsidRDefault="00B060BD" w:rsidP="00B060BD">
      <w:pPr>
        <w:rPr>
          <w:b/>
          <w:sz w:val="24"/>
        </w:rPr>
      </w:pPr>
    </w:p>
    <w:p w:rsidR="00B060BD" w:rsidRDefault="00B060BD" w:rsidP="00B060BD">
      <w:pPr>
        <w:rPr>
          <w:b/>
          <w:sz w:val="24"/>
        </w:rPr>
      </w:pPr>
    </w:p>
    <w:p w:rsidR="00B060BD" w:rsidRDefault="00B060BD" w:rsidP="00B060BD">
      <w:pPr>
        <w:rPr>
          <w:b/>
          <w:sz w:val="24"/>
        </w:rPr>
      </w:pPr>
    </w:p>
    <w:p w:rsidR="00B060BD" w:rsidRDefault="00B060BD" w:rsidP="00B06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B060BD" w:rsidRDefault="00B060BD" w:rsidP="00B060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«Посёлок Чернышевский»                                              Л.Н. Трофимова</w:t>
      </w:r>
    </w:p>
    <w:p w:rsidR="00B060BD" w:rsidRDefault="00B060BD" w:rsidP="00B060BD">
      <w:pPr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B060BD" w:rsidRDefault="00B060BD" w:rsidP="00B060BD">
      <w:pPr>
        <w:jc w:val="both"/>
        <w:rPr>
          <w:b/>
          <w:sz w:val="24"/>
        </w:rPr>
      </w:pPr>
    </w:p>
    <w:p w:rsidR="00B060BD" w:rsidRDefault="00B060BD" w:rsidP="00B060BD">
      <w:pPr>
        <w:jc w:val="both"/>
        <w:rPr>
          <w:b/>
          <w:sz w:val="24"/>
        </w:rPr>
      </w:pPr>
    </w:p>
    <w:p w:rsidR="00B060BD" w:rsidRDefault="00B060BD" w:rsidP="00B060BD">
      <w:pPr>
        <w:jc w:val="both"/>
        <w:rPr>
          <w:b/>
          <w:sz w:val="24"/>
        </w:rPr>
      </w:pPr>
    </w:p>
    <w:p w:rsidR="00B060BD" w:rsidRDefault="00B060BD" w:rsidP="00B060BD">
      <w:pPr>
        <w:jc w:val="both"/>
        <w:rPr>
          <w:b/>
          <w:sz w:val="24"/>
        </w:rPr>
      </w:pPr>
    </w:p>
    <w:p w:rsidR="00B060BD" w:rsidRDefault="00B060BD" w:rsidP="00B060BD"/>
    <w:p w:rsidR="00B060BD" w:rsidRDefault="00B060BD" w:rsidP="00B060BD"/>
    <w:p w:rsidR="00B060BD" w:rsidRDefault="00B060BD" w:rsidP="00B060BD"/>
    <w:p w:rsidR="00D46786" w:rsidRDefault="00D46786"/>
    <w:sectPr w:rsidR="00D4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23"/>
    <w:rsid w:val="00803BF1"/>
    <w:rsid w:val="00A35A23"/>
    <w:rsid w:val="00B060BD"/>
    <w:rsid w:val="00D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2022-04-29T03:17:00Z</dcterms:created>
  <dcterms:modified xsi:type="dcterms:W3CDTF">2022-04-29T03:17:00Z</dcterms:modified>
</cp:coreProperties>
</file>