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24" w:rsidRPr="008E0A76" w:rsidRDefault="00551624" w:rsidP="00551624">
      <w:pPr>
        <w:autoSpaceDE w:val="0"/>
        <w:autoSpaceDN w:val="0"/>
        <w:adjustRightInd w:val="0"/>
        <w:jc w:val="both"/>
        <w:rPr>
          <w:rFonts w:eastAsia="Times New Roman" w:cs="Arial"/>
          <w:b/>
          <w:sz w:val="32"/>
          <w:szCs w:val="32"/>
          <w:lang w:eastAsia="ru-RU"/>
        </w:rPr>
      </w:pPr>
      <w:r w:rsidRPr="008E0A76">
        <w:rPr>
          <w:rFonts w:eastAsia="Times New Roman" w:cs="Arial"/>
          <w:b/>
          <w:sz w:val="32"/>
          <w:szCs w:val="32"/>
          <w:lang w:eastAsia="ru-RU"/>
        </w:rPr>
        <w:t xml:space="preserve">Статья 26. Контрольно-счетная Палата </w:t>
      </w:r>
    </w:p>
    <w:p w:rsidR="00551624" w:rsidRPr="00726F9B" w:rsidRDefault="00551624" w:rsidP="00551624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eastAsia="Times New Roman" w:cs="Arial"/>
          <w:bCs/>
          <w:szCs w:val="28"/>
        </w:rPr>
      </w:pPr>
      <w:r w:rsidRPr="00726F9B">
        <w:rPr>
          <w:rFonts w:eastAsia="Times New Roman" w:cs="Arial"/>
          <w:bCs/>
          <w:szCs w:val="28"/>
        </w:rPr>
        <w:t xml:space="preserve">Контрольно-счетная Палата </w:t>
      </w:r>
      <w:r>
        <w:rPr>
          <w:rFonts w:eastAsia="Times New Roman" w:cs="Arial"/>
          <w:bCs/>
          <w:szCs w:val="28"/>
        </w:rPr>
        <w:t xml:space="preserve">является </w:t>
      </w:r>
      <w:r>
        <w:rPr>
          <w:rFonts w:eastAsia="Times New Roman" w:cs="Arial"/>
          <w:bCs/>
          <w:szCs w:val="28"/>
        </w:rPr>
        <w:t xml:space="preserve">постоянно действующим органом </w:t>
      </w:r>
      <w:r>
        <w:rPr>
          <w:rFonts w:eastAsia="Times New Roman" w:cs="Arial"/>
          <w:bCs/>
          <w:szCs w:val="28"/>
        </w:rPr>
        <w:t>вн</w:t>
      </w:r>
      <w:r>
        <w:rPr>
          <w:rFonts w:eastAsia="Times New Roman" w:cs="Arial"/>
          <w:bCs/>
          <w:szCs w:val="28"/>
        </w:rPr>
        <w:t xml:space="preserve">ешнего муниципального </w:t>
      </w:r>
      <w:r>
        <w:rPr>
          <w:rFonts w:eastAsia="Times New Roman" w:cs="Arial"/>
          <w:bCs/>
          <w:szCs w:val="28"/>
        </w:rPr>
        <w:t xml:space="preserve">финансового контроля, образуемым районным Советом депутатов. </w:t>
      </w:r>
    </w:p>
    <w:p w:rsidR="00551624" w:rsidRPr="00726F9B" w:rsidRDefault="00551624" w:rsidP="00551624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 w:cs="Arial"/>
          <w:bCs/>
          <w:szCs w:val="28"/>
        </w:rPr>
      </w:pPr>
      <w:r w:rsidRPr="00726F9B">
        <w:rPr>
          <w:rFonts w:eastAsia="Times New Roman" w:cs="Arial"/>
          <w:bCs/>
          <w:szCs w:val="28"/>
        </w:rPr>
        <w:t xml:space="preserve">В структуру </w:t>
      </w:r>
      <w:r>
        <w:rPr>
          <w:rFonts w:eastAsia="Times New Roman" w:cs="Arial"/>
          <w:bCs/>
          <w:szCs w:val="28"/>
        </w:rPr>
        <w:t xml:space="preserve">Контрольно-счетной Палаты </w:t>
      </w:r>
      <w:r w:rsidRPr="00726F9B">
        <w:rPr>
          <w:rFonts w:eastAsia="Times New Roman" w:cs="Arial"/>
          <w:bCs/>
          <w:szCs w:val="28"/>
        </w:rPr>
        <w:t>входят:</w:t>
      </w:r>
    </w:p>
    <w:p w:rsidR="00551624" w:rsidRPr="00726F9B" w:rsidRDefault="00551624" w:rsidP="00551624">
      <w:pPr>
        <w:pStyle w:val="a3"/>
        <w:autoSpaceDE w:val="0"/>
        <w:autoSpaceDN w:val="0"/>
        <w:adjustRightInd w:val="0"/>
        <w:ind w:left="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- </w:t>
      </w:r>
      <w:r w:rsidRPr="00726F9B">
        <w:rPr>
          <w:rFonts w:eastAsia="Times New Roman" w:cs="Arial"/>
          <w:szCs w:val="28"/>
        </w:rPr>
        <w:t>П</w:t>
      </w:r>
      <w:r>
        <w:rPr>
          <w:rFonts w:eastAsia="Times New Roman" w:cs="Arial"/>
          <w:szCs w:val="28"/>
        </w:rPr>
        <w:t>редседатель К</w:t>
      </w:r>
      <w:r w:rsidRPr="00726F9B">
        <w:rPr>
          <w:rFonts w:eastAsia="Times New Roman" w:cs="Arial"/>
          <w:szCs w:val="28"/>
        </w:rPr>
        <w:t>онтрольно-счетной Палаты.</w:t>
      </w:r>
    </w:p>
    <w:p w:rsidR="00551624" w:rsidRDefault="00551624" w:rsidP="00551624">
      <w:pPr>
        <w:pStyle w:val="a3"/>
        <w:autoSpaceDE w:val="0"/>
        <w:autoSpaceDN w:val="0"/>
        <w:adjustRightInd w:val="0"/>
        <w:ind w:left="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аппарат К</w:t>
      </w:r>
      <w:r w:rsidRPr="00726F9B">
        <w:rPr>
          <w:rFonts w:eastAsia="Times New Roman" w:cs="Arial"/>
          <w:szCs w:val="28"/>
        </w:rPr>
        <w:t>онтрольно-счетной Палаты.</w:t>
      </w:r>
    </w:p>
    <w:p w:rsidR="00551624" w:rsidRPr="00726F9B" w:rsidRDefault="00551624" w:rsidP="00551624">
      <w:pPr>
        <w:pStyle w:val="a3"/>
        <w:autoSpaceDE w:val="0"/>
        <w:autoSpaceDN w:val="0"/>
        <w:adjustRightInd w:val="0"/>
        <w:ind w:left="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Структура и штатная численность</w:t>
      </w:r>
      <w:r w:rsidRPr="00702097">
        <w:rPr>
          <w:rFonts w:eastAsia="Times New Roman" w:cs="Arial"/>
          <w:szCs w:val="28"/>
        </w:rPr>
        <w:t xml:space="preserve"> </w:t>
      </w:r>
      <w:r>
        <w:rPr>
          <w:rFonts w:eastAsia="Times New Roman" w:cs="Arial"/>
          <w:szCs w:val="28"/>
        </w:rPr>
        <w:t>К</w:t>
      </w:r>
      <w:r w:rsidRPr="00726F9B">
        <w:rPr>
          <w:rFonts w:eastAsia="Times New Roman" w:cs="Arial"/>
          <w:szCs w:val="28"/>
        </w:rPr>
        <w:t>онтрольно-счетной Палаты</w:t>
      </w:r>
      <w:r>
        <w:rPr>
          <w:rFonts w:eastAsia="Times New Roman" w:cs="Arial"/>
          <w:szCs w:val="28"/>
        </w:rPr>
        <w:t xml:space="preserve"> утверждается </w:t>
      </w:r>
      <w:r>
        <w:rPr>
          <w:rFonts w:eastAsia="Times New Roman" w:cs="Arial"/>
          <w:szCs w:val="28"/>
        </w:rPr>
        <w:t>районным Советом депутатов по представлению Председателя Контрольно-счетной Палаты.</w:t>
      </w:r>
    </w:p>
    <w:p w:rsidR="00551624" w:rsidRDefault="00551624" w:rsidP="00551624">
      <w:pPr>
        <w:tabs>
          <w:tab w:val="left" w:pos="993"/>
          <w:tab w:val="left" w:pos="1134"/>
        </w:tabs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3. </w:t>
      </w:r>
      <w:r w:rsidRPr="00726F9B">
        <w:rPr>
          <w:rFonts w:eastAsia="Times New Roman" w:cs="Arial"/>
          <w:szCs w:val="28"/>
          <w:lang w:eastAsia="ru-RU"/>
        </w:rPr>
        <w:t>Председатель</w:t>
      </w:r>
      <w:r>
        <w:rPr>
          <w:rFonts w:eastAsia="Times New Roman" w:cs="Arial"/>
          <w:szCs w:val="28"/>
          <w:lang w:eastAsia="ru-RU"/>
        </w:rPr>
        <w:t xml:space="preserve"> К</w:t>
      </w:r>
      <w:r w:rsidRPr="00726F9B">
        <w:rPr>
          <w:rFonts w:eastAsia="Times New Roman" w:cs="Arial"/>
          <w:szCs w:val="28"/>
          <w:lang w:eastAsia="ru-RU"/>
        </w:rPr>
        <w:t>онтрольно-счетной Пал</w:t>
      </w:r>
      <w:r>
        <w:rPr>
          <w:rFonts w:eastAsia="Times New Roman" w:cs="Arial"/>
          <w:szCs w:val="28"/>
          <w:lang w:eastAsia="ru-RU"/>
        </w:rPr>
        <w:t xml:space="preserve">аты </w:t>
      </w:r>
      <w:r w:rsidRPr="00726F9B">
        <w:rPr>
          <w:rFonts w:eastAsia="Times New Roman" w:cs="Arial"/>
          <w:szCs w:val="28"/>
          <w:lang w:eastAsia="ru-RU"/>
        </w:rPr>
        <w:t>назнача</w:t>
      </w:r>
      <w:r>
        <w:rPr>
          <w:rFonts w:eastAsia="Times New Roman" w:cs="Arial"/>
          <w:szCs w:val="28"/>
          <w:lang w:eastAsia="ru-RU"/>
        </w:rPr>
        <w:t xml:space="preserve">ется на должность   решением районного Совета </w:t>
      </w:r>
      <w:r w:rsidRPr="00726F9B">
        <w:rPr>
          <w:rFonts w:eastAsia="Times New Roman" w:cs="Arial"/>
          <w:szCs w:val="28"/>
          <w:lang w:eastAsia="ru-RU"/>
        </w:rPr>
        <w:t>депутатов сроком на пять лет</w:t>
      </w:r>
      <w:r>
        <w:rPr>
          <w:rFonts w:eastAsia="Times New Roman" w:cs="Arial"/>
          <w:szCs w:val="28"/>
          <w:lang w:eastAsia="ru-RU"/>
        </w:rPr>
        <w:t>.</w:t>
      </w:r>
    </w:p>
    <w:p w:rsidR="00551624" w:rsidRPr="009D724A" w:rsidRDefault="00551624" w:rsidP="00551624">
      <w:pPr>
        <w:contextualSpacing/>
        <w:jc w:val="both"/>
      </w:pPr>
      <w:r>
        <w:t xml:space="preserve">Председатель </w:t>
      </w:r>
      <w:r>
        <w:rPr>
          <w:rFonts w:eastAsia="Times New Roman" w:cs="Arial"/>
          <w:szCs w:val="28"/>
          <w:lang w:eastAsia="ru-RU"/>
        </w:rPr>
        <w:t>К</w:t>
      </w:r>
      <w:r w:rsidRPr="00726F9B">
        <w:rPr>
          <w:rFonts w:eastAsia="Times New Roman" w:cs="Arial"/>
          <w:szCs w:val="28"/>
          <w:lang w:eastAsia="ru-RU"/>
        </w:rPr>
        <w:t>онтрольно-счетной Пал</w:t>
      </w:r>
      <w:r>
        <w:rPr>
          <w:rFonts w:eastAsia="Times New Roman" w:cs="Arial"/>
          <w:szCs w:val="28"/>
          <w:lang w:eastAsia="ru-RU"/>
        </w:rPr>
        <w:t>аты</w:t>
      </w:r>
      <w:r>
        <w:t xml:space="preserve"> избирается тайным голосованием большинством голосов от установленной численно</w:t>
      </w:r>
      <w:r>
        <w:t xml:space="preserve">сти депутатов районного Совета </w:t>
      </w:r>
      <w:r>
        <w:t>депутатов.</w:t>
      </w:r>
    </w:p>
    <w:p w:rsidR="00551624" w:rsidRPr="00726F9B" w:rsidRDefault="00551624" w:rsidP="00551624">
      <w:pPr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4. </w:t>
      </w:r>
      <w:r w:rsidRPr="00726F9B">
        <w:rPr>
          <w:rFonts w:eastAsia="Times New Roman" w:cs="Arial"/>
          <w:bCs/>
          <w:szCs w:val="28"/>
        </w:rPr>
        <w:t>Контрольно-счетная Палата подотчетна районному Совету депутатов.</w:t>
      </w:r>
    </w:p>
    <w:p w:rsidR="00551624" w:rsidRPr="005F3284" w:rsidRDefault="00551624" w:rsidP="00551624">
      <w:pPr>
        <w:autoSpaceDE w:val="0"/>
        <w:autoSpaceDN w:val="0"/>
        <w:adjustRightInd w:val="0"/>
        <w:ind w:firstLine="708"/>
        <w:jc w:val="both"/>
        <w:rPr>
          <w:rFonts w:eastAsia="Times New Roman" w:cs="Arial"/>
          <w:bCs/>
          <w:szCs w:val="28"/>
        </w:rPr>
      </w:pPr>
      <w:r>
        <w:rPr>
          <w:rFonts w:eastAsia="Times New Roman" w:cs="Arial"/>
          <w:bCs/>
          <w:szCs w:val="28"/>
        </w:rPr>
        <w:t xml:space="preserve">5. </w:t>
      </w:r>
      <w:r w:rsidRPr="005F3284">
        <w:rPr>
          <w:rFonts w:eastAsia="Times New Roman" w:cs="Arial"/>
          <w:bCs/>
          <w:szCs w:val="28"/>
        </w:rPr>
        <w:t xml:space="preserve">Контрольно-счетная Палата обладает организационной и функциональной независимостью и </w:t>
      </w:r>
      <w:bookmarkStart w:id="0" w:name="_GoBack"/>
      <w:bookmarkEnd w:id="0"/>
      <w:r w:rsidRPr="005F3284">
        <w:rPr>
          <w:rFonts w:eastAsia="Times New Roman" w:cs="Arial"/>
          <w:bCs/>
          <w:szCs w:val="28"/>
        </w:rPr>
        <w:t>осуществляет свою деятельность самостоятельно.</w:t>
      </w:r>
    </w:p>
    <w:p w:rsidR="00551624" w:rsidRPr="005F3284" w:rsidRDefault="00551624" w:rsidP="00551624">
      <w:pPr>
        <w:autoSpaceDE w:val="0"/>
        <w:autoSpaceDN w:val="0"/>
        <w:adjustRightInd w:val="0"/>
        <w:ind w:firstLine="708"/>
        <w:jc w:val="both"/>
        <w:rPr>
          <w:rFonts w:eastAsia="Times New Roman" w:cs="Arial"/>
          <w:bCs/>
          <w:szCs w:val="28"/>
        </w:rPr>
      </w:pPr>
      <w:r>
        <w:rPr>
          <w:rFonts w:eastAsia="Times New Roman" w:cs="Arial"/>
          <w:szCs w:val="28"/>
        </w:rPr>
        <w:t>Порядок организации и деятельности К</w:t>
      </w:r>
      <w:r w:rsidRPr="005F3284">
        <w:rPr>
          <w:rFonts w:eastAsia="Times New Roman" w:cs="Arial"/>
          <w:szCs w:val="28"/>
        </w:rPr>
        <w:t xml:space="preserve">онтрольно-счетной Палаты определяется Федеральным законом от </w:t>
      </w:r>
      <w:r>
        <w:rPr>
          <w:rFonts w:eastAsia="Times New Roman" w:cs="Arial"/>
          <w:szCs w:val="28"/>
        </w:rPr>
        <w:t xml:space="preserve">07.02.2011 </w:t>
      </w:r>
      <w:r w:rsidRPr="005F3284">
        <w:rPr>
          <w:rFonts w:eastAsia="Times New Roman" w:cs="Arial"/>
          <w:szCs w:val="28"/>
        </w:rPr>
        <w:t>№ 6-ФЗ «Об общих принципах организации и деятельности контрольно-счетных органов  субъектов Российской Федерации</w:t>
      </w:r>
      <w:r>
        <w:rPr>
          <w:rFonts w:eastAsia="Times New Roman" w:cs="Arial"/>
          <w:szCs w:val="28"/>
        </w:rPr>
        <w:t xml:space="preserve"> и муниципальных образований»,</w:t>
      </w:r>
      <w:r w:rsidRPr="00B17E36">
        <w:rPr>
          <w:szCs w:val="28"/>
        </w:rPr>
        <w:t xml:space="preserve"> </w:t>
      </w:r>
      <w:r w:rsidRPr="00E24DFF">
        <w:rPr>
          <w:szCs w:val="28"/>
        </w:rPr>
        <w:t>Федеральны</w:t>
      </w:r>
      <w:r>
        <w:rPr>
          <w:szCs w:val="28"/>
        </w:rPr>
        <w:t>м</w:t>
      </w:r>
      <w:r w:rsidRPr="00E24DFF">
        <w:rPr>
          <w:szCs w:val="28"/>
        </w:rPr>
        <w:t xml:space="preserve"> закон</w:t>
      </w:r>
      <w:r>
        <w:rPr>
          <w:szCs w:val="28"/>
        </w:rPr>
        <w:t>ом</w:t>
      </w:r>
      <w:r w:rsidRPr="00E24DFF">
        <w:rPr>
          <w:szCs w:val="28"/>
        </w:rPr>
        <w:t xml:space="preserve"> от 20.03.2025 № 33-ФЗ</w:t>
      </w:r>
      <w:r>
        <w:rPr>
          <w:rFonts w:eastAsia="Times New Roman" w:cs="Arial"/>
          <w:szCs w:val="28"/>
        </w:rPr>
        <w:t xml:space="preserve">, </w:t>
      </w:r>
      <w:r w:rsidRPr="005F3284">
        <w:rPr>
          <w:rFonts w:eastAsia="Times New Roman" w:cs="Arial"/>
          <w:szCs w:val="28"/>
        </w:rPr>
        <w:t xml:space="preserve">нормативными правовыми актами Российской Федерации, законами  и иными нормативными правовыми актами Республики Саха (Якутия), </w:t>
      </w:r>
      <w:r>
        <w:rPr>
          <w:rFonts w:eastAsia="Times New Roman" w:cs="Arial"/>
          <w:szCs w:val="28"/>
        </w:rPr>
        <w:t xml:space="preserve">настоящим </w:t>
      </w:r>
      <w:r w:rsidRPr="005F3284">
        <w:rPr>
          <w:rFonts w:eastAsia="Times New Roman" w:cs="Arial"/>
          <w:szCs w:val="28"/>
        </w:rPr>
        <w:t>Уставом и нормативными п</w:t>
      </w:r>
      <w:r>
        <w:rPr>
          <w:rFonts w:eastAsia="Times New Roman" w:cs="Arial"/>
          <w:szCs w:val="28"/>
        </w:rPr>
        <w:t>равовыми актами муниципального района, Положением о К</w:t>
      </w:r>
      <w:r w:rsidRPr="005F3284">
        <w:rPr>
          <w:rFonts w:eastAsia="Times New Roman" w:cs="Arial"/>
          <w:szCs w:val="28"/>
        </w:rPr>
        <w:t>онтрольно-счетной Палате, утверждаемым районным  Советом депутатов.</w:t>
      </w:r>
      <w:r w:rsidRPr="005F3284">
        <w:rPr>
          <w:rFonts w:eastAsia="Times New Roman" w:cs="Arial"/>
          <w:bCs/>
          <w:szCs w:val="28"/>
        </w:rPr>
        <w:t xml:space="preserve">          </w:t>
      </w:r>
    </w:p>
    <w:p w:rsidR="00551624" w:rsidRDefault="00551624" w:rsidP="0055162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 w:rsidRPr="00F24856">
        <w:rPr>
          <w:rFonts w:ascii="PT Astra Serif" w:hAnsi="PT Astra Serif"/>
          <w:sz w:val="28"/>
          <w:szCs w:val="28"/>
        </w:rPr>
        <w:t>Председателю Контрольно-счетной Палаты предоставляются гарантии, установленные Ф</w:t>
      </w:r>
      <w:r>
        <w:rPr>
          <w:rFonts w:ascii="PT Astra Serif" w:hAnsi="PT Astra Serif"/>
          <w:sz w:val="28"/>
          <w:szCs w:val="28"/>
        </w:rPr>
        <w:t xml:space="preserve">едеральным </w:t>
      </w:r>
      <w:r w:rsidRPr="00F24856">
        <w:rPr>
          <w:rFonts w:ascii="PT Astra Serif" w:hAnsi="PT Astra Serif"/>
          <w:sz w:val="28"/>
          <w:szCs w:val="28"/>
        </w:rPr>
        <w:t>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>
        <w:rPr>
          <w:rFonts w:ascii="PT Astra Serif" w:hAnsi="PT Astra Serif"/>
          <w:sz w:val="28"/>
          <w:szCs w:val="28"/>
        </w:rPr>
        <w:t>,</w:t>
      </w:r>
      <w:r w:rsidRPr="00887D8E">
        <w:t xml:space="preserve"> </w:t>
      </w:r>
      <w:r w:rsidRPr="00DC5B90">
        <w:rPr>
          <w:rFonts w:ascii="PT Astra Serif" w:hAnsi="PT Astra Serif"/>
          <w:sz w:val="28"/>
          <w:szCs w:val="28"/>
        </w:rPr>
        <w:t>иными федеральными законами,</w:t>
      </w:r>
      <w:r>
        <w:t xml:space="preserve"> </w:t>
      </w:r>
      <w:r w:rsidRPr="00F24856">
        <w:rPr>
          <w:sz w:val="28"/>
          <w:szCs w:val="28"/>
        </w:rPr>
        <w:t xml:space="preserve">Законом Республики Саха (Якутия) от 10.11.2010 865-З № 631-IV «О гарантиях осуществления полномочий лиц, замещающих муниципальные должности </w:t>
      </w:r>
      <w:r>
        <w:rPr>
          <w:sz w:val="28"/>
          <w:szCs w:val="28"/>
        </w:rPr>
        <w:t xml:space="preserve">в Республике Саха (Якутия)», настоящим Уставом и муниципальным правовым актом районного Совета депутатов. </w:t>
      </w:r>
    </w:p>
    <w:p w:rsidR="00551624" w:rsidRPr="00277054" w:rsidRDefault="00551624" w:rsidP="00551624">
      <w:pPr>
        <w:contextualSpacing/>
        <w:jc w:val="both"/>
      </w:pPr>
      <w:r>
        <w:t>Председатель и лица, замещающие муниципальные должности Контрольно-счетной Палаты, должны соблюдать о</w:t>
      </w:r>
      <w:r w:rsidRPr="00887D8E">
        <w:t>граничения, запреты, исполнять обязанности, которые</w:t>
      </w:r>
      <w:r>
        <w:t xml:space="preserve"> </w:t>
      </w:r>
      <w:r w:rsidRPr="00887D8E">
        <w:t>установлены для лиц, замещающих муниципальные должности, статьей 28 Федерального закона от 20.03.2025 № 33-ФЗ</w:t>
      </w:r>
      <w:r>
        <w:t>.</w:t>
      </w:r>
    </w:p>
    <w:p w:rsidR="00551624" w:rsidRPr="00277054" w:rsidRDefault="00551624" w:rsidP="00551624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eastAsia="Times New Roman" w:cs="Arial"/>
          <w:szCs w:val="28"/>
          <w:lang w:eastAsia="ru-RU"/>
        </w:rPr>
      </w:pPr>
      <w:r w:rsidRPr="00277054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 xml:space="preserve">Контрольно-счетная </w:t>
      </w:r>
      <w:r w:rsidRPr="00277054">
        <w:rPr>
          <w:rFonts w:eastAsia="Times New Roman" w:cs="Arial"/>
          <w:szCs w:val="28"/>
          <w:lang w:eastAsia="ru-RU"/>
        </w:rPr>
        <w:t xml:space="preserve">Палата является юридическим лицом, зарегистрированным в установленном законодательством Российской Федерации порядке. </w:t>
      </w:r>
    </w:p>
    <w:p w:rsidR="00551624" w:rsidRPr="00085EB6" w:rsidRDefault="00551624" w:rsidP="00551624">
      <w:pPr>
        <w:tabs>
          <w:tab w:val="left" w:pos="851"/>
          <w:tab w:val="left" w:pos="993"/>
          <w:tab w:val="left" w:pos="1134"/>
        </w:tabs>
        <w:jc w:val="both"/>
        <w:rPr>
          <w:rFonts w:eastAsia="Times New Roman" w:cs="Arial"/>
          <w:szCs w:val="28"/>
          <w:lang w:eastAsia="ru-RU"/>
        </w:rPr>
      </w:pPr>
    </w:p>
    <w:p w:rsidR="00551624" w:rsidRPr="008E0A76" w:rsidRDefault="00551624" w:rsidP="00551624">
      <w:pPr>
        <w:tabs>
          <w:tab w:val="left" w:pos="993"/>
        </w:tabs>
        <w:jc w:val="both"/>
        <w:rPr>
          <w:rFonts w:eastAsia="Times New Roman" w:cs="Arial"/>
          <w:b/>
          <w:bCs/>
          <w:sz w:val="32"/>
          <w:szCs w:val="32"/>
        </w:rPr>
      </w:pPr>
      <w:r>
        <w:rPr>
          <w:rFonts w:eastAsia="Times New Roman" w:cs="Arial"/>
          <w:b/>
          <w:bCs/>
          <w:sz w:val="32"/>
          <w:szCs w:val="32"/>
        </w:rPr>
        <w:t>Статья 27</w:t>
      </w:r>
      <w:r w:rsidRPr="008E0A76">
        <w:rPr>
          <w:rFonts w:eastAsia="Times New Roman" w:cs="Arial"/>
          <w:b/>
          <w:bCs/>
          <w:sz w:val="32"/>
          <w:szCs w:val="32"/>
        </w:rPr>
        <w:t>. Полномочия контрольно-счетной Палаты</w:t>
      </w:r>
    </w:p>
    <w:p w:rsidR="00551624" w:rsidRPr="00B17E36" w:rsidRDefault="00551624" w:rsidP="00551624">
      <w:pPr>
        <w:tabs>
          <w:tab w:val="left" w:pos="993"/>
        </w:tabs>
        <w:jc w:val="both"/>
        <w:rPr>
          <w:rFonts w:eastAsia="Times New Roman" w:cs="Arial"/>
          <w:bCs/>
          <w:szCs w:val="28"/>
        </w:rPr>
      </w:pPr>
      <w:r>
        <w:rPr>
          <w:rFonts w:eastAsia="Times New Roman" w:cs="Arial"/>
          <w:bCs/>
          <w:szCs w:val="28"/>
        </w:rPr>
        <w:t>1</w:t>
      </w:r>
      <w:r w:rsidRPr="00B17E36">
        <w:rPr>
          <w:rFonts w:eastAsia="Times New Roman" w:cs="Arial"/>
          <w:bCs/>
          <w:szCs w:val="28"/>
        </w:rPr>
        <w:t>.</w:t>
      </w:r>
      <w:r>
        <w:rPr>
          <w:rFonts w:eastAsia="Times New Roman" w:cs="Arial"/>
          <w:bCs/>
          <w:szCs w:val="28"/>
        </w:rPr>
        <w:t xml:space="preserve"> </w:t>
      </w:r>
      <w:r w:rsidRPr="00B17E36">
        <w:rPr>
          <w:rFonts w:eastAsia="Times New Roman" w:cs="Arial"/>
          <w:bCs/>
          <w:szCs w:val="28"/>
        </w:rPr>
        <w:t>Контрольно-счетная Палата осуществляет следующие полномочия:</w:t>
      </w:r>
    </w:p>
    <w:p w:rsidR="00551624" w:rsidRPr="00B17E36" w:rsidRDefault="00551624" w:rsidP="00551624">
      <w:pPr>
        <w:autoSpaceDE w:val="0"/>
        <w:autoSpaceDN w:val="0"/>
        <w:adjustRightInd w:val="0"/>
        <w:jc w:val="both"/>
        <w:rPr>
          <w:rFonts w:cs="Arial"/>
          <w:szCs w:val="28"/>
        </w:rPr>
      </w:pPr>
      <w:r w:rsidRPr="00B17E36">
        <w:rPr>
          <w:rFonts w:cs="Arial"/>
          <w:szCs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551624" w:rsidRPr="00B17E36" w:rsidRDefault="00551624" w:rsidP="00551624">
      <w:pPr>
        <w:autoSpaceDE w:val="0"/>
        <w:autoSpaceDN w:val="0"/>
        <w:adjustRightInd w:val="0"/>
        <w:jc w:val="both"/>
        <w:rPr>
          <w:rFonts w:cs="Arial"/>
          <w:szCs w:val="28"/>
        </w:rPr>
      </w:pPr>
      <w:r w:rsidRPr="00B17E36">
        <w:rPr>
          <w:rFonts w:cs="Arial"/>
          <w:szCs w:val="28"/>
        </w:rPr>
        <w:t>2) экспертиза проектов местного бюджета, проверка и анализ обоснованности его показателей;</w:t>
      </w:r>
    </w:p>
    <w:p w:rsidR="00551624" w:rsidRPr="00B17E36" w:rsidRDefault="00551624" w:rsidP="00551624">
      <w:pPr>
        <w:autoSpaceDE w:val="0"/>
        <w:autoSpaceDN w:val="0"/>
        <w:adjustRightInd w:val="0"/>
        <w:jc w:val="both"/>
        <w:rPr>
          <w:rFonts w:cs="Arial"/>
          <w:szCs w:val="28"/>
        </w:rPr>
      </w:pPr>
      <w:r w:rsidRPr="00B17E36">
        <w:rPr>
          <w:rFonts w:cs="Arial"/>
          <w:szCs w:val="28"/>
        </w:rPr>
        <w:t>3) внешняя проверка годового отчета об исполнении местного бюджета;</w:t>
      </w:r>
    </w:p>
    <w:p w:rsidR="00551624" w:rsidRPr="00B17E36" w:rsidRDefault="00551624" w:rsidP="00551624">
      <w:pPr>
        <w:autoSpaceDE w:val="0"/>
        <w:autoSpaceDN w:val="0"/>
        <w:adjustRightInd w:val="0"/>
        <w:jc w:val="both"/>
        <w:rPr>
          <w:rFonts w:cs="Arial"/>
          <w:szCs w:val="28"/>
        </w:rPr>
      </w:pPr>
      <w:r w:rsidRPr="00B17E36">
        <w:rPr>
          <w:rFonts w:cs="Arial"/>
          <w:szCs w:val="28"/>
        </w:rPr>
        <w:t xml:space="preserve">4) проведение аудита в сфере закупок товаров, работ и услуг в соответствии с Федеральным </w:t>
      </w:r>
      <w:hyperlink r:id="rId5" w:history="1">
        <w:r w:rsidRPr="00B17E36">
          <w:rPr>
            <w:rFonts w:cs="Arial"/>
            <w:szCs w:val="28"/>
          </w:rPr>
          <w:t>законом</w:t>
        </w:r>
      </w:hyperlink>
      <w:r w:rsidRPr="00B17E36">
        <w:rPr>
          <w:rFonts w:cs="Arial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551624" w:rsidRPr="00B17E36" w:rsidRDefault="00551624" w:rsidP="00551624">
      <w:pPr>
        <w:autoSpaceDE w:val="0"/>
        <w:autoSpaceDN w:val="0"/>
        <w:adjustRightInd w:val="0"/>
        <w:jc w:val="both"/>
        <w:rPr>
          <w:rFonts w:cs="Arial"/>
          <w:szCs w:val="28"/>
        </w:rPr>
      </w:pPr>
      <w:r w:rsidRPr="00B17E36">
        <w:rPr>
          <w:rFonts w:cs="Arial"/>
          <w:szCs w:val="28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551624" w:rsidRPr="00B17E36" w:rsidRDefault="00551624" w:rsidP="00551624">
      <w:pPr>
        <w:autoSpaceDE w:val="0"/>
        <w:autoSpaceDN w:val="0"/>
        <w:adjustRightInd w:val="0"/>
        <w:jc w:val="both"/>
        <w:rPr>
          <w:rFonts w:cs="Arial"/>
          <w:szCs w:val="28"/>
        </w:rPr>
      </w:pPr>
      <w:r w:rsidRPr="00B17E36">
        <w:rPr>
          <w:rFonts w:cs="Arial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551624" w:rsidRPr="00B17E36" w:rsidRDefault="00551624" w:rsidP="00551624">
      <w:pPr>
        <w:autoSpaceDE w:val="0"/>
        <w:autoSpaceDN w:val="0"/>
        <w:adjustRightInd w:val="0"/>
        <w:jc w:val="both"/>
        <w:rPr>
          <w:rFonts w:cs="Arial"/>
          <w:szCs w:val="28"/>
        </w:rPr>
      </w:pPr>
      <w:r w:rsidRPr="00B17E36">
        <w:rPr>
          <w:rFonts w:cs="Arial"/>
          <w:szCs w:val="28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551624" w:rsidRPr="00B17E36" w:rsidRDefault="00551624" w:rsidP="00551624">
      <w:pPr>
        <w:autoSpaceDE w:val="0"/>
        <w:autoSpaceDN w:val="0"/>
        <w:adjustRightInd w:val="0"/>
        <w:jc w:val="both"/>
        <w:rPr>
          <w:rFonts w:cs="Arial"/>
          <w:szCs w:val="28"/>
        </w:rPr>
      </w:pPr>
      <w:r w:rsidRPr="00B17E36">
        <w:rPr>
          <w:rFonts w:cs="Arial"/>
          <w:szCs w:val="28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551624" w:rsidRPr="00B17E36" w:rsidRDefault="00551624" w:rsidP="00551624">
      <w:pPr>
        <w:autoSpaceDE w:val="0"/>
        <w:autoSpaceDN w:val="0"/>
        <w:adjustRightInd w:val="0"/>
        <w:jc w:val="both"/>
        <w:rPr>
          <w:rFonts w:cs="Arial"/>
          <w:szCs w:val="28"/>
        </w:rPr>
      </w:pPr>
      <w:r w:rsidRPr="00B17E36">
        <w:rPr>
          <w:rFonts w:cs="Arial"/>
          <w:szCs w:val="28"/>
        </w:rP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551624" w:rsidRPr="00B17E36" w:rsidRDefault="00551624" w:rsidP="00551624">
      <w:pPr>
        <w:autoSpaceDE w:val="0"/>
        <w:autoSpaceDN w:val="0"/>
        <w:adjustRightInd w:val="0"/>
        <w:jc w:val="both"/>
        <w:rPr>
          <w:rFonts w:cs="Arial"/>
          <w:szCs w:val="28"/>
        </w:rPr>
      </w:pPr>
      <w:r w:rsidRPr="00B17E36">
        <w:rPr>
          <w:rFonts w:cs="Arial"/>
          <w:szCs w:val="28"/>
        </w:rPr>
        <w:t>10) осуществление контроля за состоянием муниципального внутреннего и внешнего долга;</w:t>
      </w:r>
    </w:p>
    <w:p w:rsidR="00551624" w:rsidRPr="00B17E36" w:rsidRDefault="00551624" w:rsidP="00551624">
      <w:pPr>
        <w:autoSpaceDE w:val="0"/>
        <w:autoSpaceDN w:val="0"/>
        <w:adjustRightInd w:val="0"/>
        <w:jc w:val="both"/>
        <w:rPr>
          <w:rFonts w:cs="Arial"/>
          <w:szCs w:val="28"/>
        </w:rPr>
      </w:pPr>
      <w:r w:rsidRPr="00B17E36">
        <w:rPr>
          <w:rFonts w:cs="Arial"/>
          <w:szCs w:val="28"/>
        </w:rPr>
        <w:t xml:space="preserve">11) оценка реализуемости, рисков и результатов достижения целей социально-экономического развития муниципального образования, </w:t>
      </w:r>
      <w:r w:rsidRPr="00B17E36">
        <w:rPr>
          <w:rFonts w:cs="Arial"/>
          <w:szCs w:val="28"/>
        </w:rPr>
        <w:lastRenderedPageBreak/>
        <w:t>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551624" w:rsidRPr="00B17E36" w:rsidRDefault="00551624" w:rsidP="00551624">
      <w:pPr>
        <w:autoSpaceDE w:val="0"/>
        <w:autoSpaceDN w:val="0"/>
        <w:adjustRightInd w:val="0"/>
        <w:jc w:val="both"/>
        <w:rPr>
          <w:rFonts w:cs="Arial"/>
          <w:szCs w:val="28"/>
        </w:rPr>
      </w:pPr>
      <w:r w:rsidRPr="00B17E36">
        <w:rPr>
          <w:rFonts w:cs="Arial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551624" w:rsidRPr="00B17E36" w:rsidRDefault="00551624" w:rsidP="00551624">
      <w:pPr>
        <w:autoSpaceDE w:val="0"/>
        <w:autoSpaceDN w:val="0"/>
        <w:adjustRightInd w:val="0"/>
        <w:jc w:val="both"/>
        <w:rPr>
          <w:rFonts w:cs="Arial"/>
          <w:szCs w:val="28"/>
        </w:rPr>
      </w:pPr>
      <w:r w:rsidRPr="00B17E36">
        <w:rPr>
          <w:rFonts w:cs="Arial"/>
          <w:szCs w:val="28"/>
        </w:rPr>
        <w:t xml:space="preserve"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</w:t>
      </w:r>
      <w:r>
        <w:rPr>
          <w:rFonts w:cs="Arial"/>
          <w:szCs w:val="28"/>
        </w:rPr>
        <w:t xml:space="preserve">настоящим </w:t>
      </w:r>
      <w:r w:rsidRPr="00B17E36">
        <w:rPr>
          <w:rFonts w:cs="Arial"/>
          <w:szCs w:val="28"/>
        </w:rPr>
        <w:t>уставом и нормативными правовыми актами</w:t>
      </w:r>
      <w:r>
        <w:rPr>
          <w:rFonts w:cs="Arial"/>
          <w:szCs w:val="28"/>
        </w:rPr>
        <w:t xml:space="preserve"> районного Совета депутатов.</w:t>
      </w:r>
    </w:p>
    <w:p w:rsidR="00DA7A93" w:rsidRDefault="00DA7A93"/>
    <w:sectPr w:rsidR="00DA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C4FDB"/>
    <w:multiLevelType w:val="hybridMultilevel"/>
    <w:tmpl w:val="E5104268"/>
    <w:lvl w:ilvl="0" w:tplc="8A5C5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FC0B55"/>
    <w:multiLevelType w:val="hybridMultilevel"/>
    <w:tmpl w:val="8732E936"/>
    <w:lvl w:ilvl="0" w:tplc="53380098">
      <w:start w:val="1"/>
      <w:numFmt w:val="decimal"/>
      <w:lvlText w:val="%1."/>
      <w:lvlJc w:val="left"/>
      <w:pPr>
        <w:ind w:left="1143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24"/>
    <w:rsid w:val="00083F24"/>
    <w:rsid w:val="00551624"/>
    <w:rsid w:val="00DA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FE24"/>
  <w15:chartTrackingRefBased/>
  <w15:docId w15:val="{83F14F1F-9344-429B-8FFB-731974EF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624"/>
    <w:pPr>
      <w:spacing w:after="0" w:line="240" w:lineRule="auto"/>
      <w:ind w:firstLine="709"/>
      <w:jc w:val="center"/>
    </w:pPr>
    <w:rPr>
      <w:rFonts w:ascii="PT Astra Serif" w:eastAsia="Calibri" w:hAnsi="PT Astra Serif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62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6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1624"/>
    <w:rPr>
      <w:rFonts w:ascii="Segoe UI" w:eastAsia="Calibr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BB0B0EFE12E24AE5768C5DC25CB5CAF08B77AB95F2176ABDCDB638D83D358D27DBB5B3D4627EF8A40F2D1DB3w71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Елена Александровна</dc:creator>
  <cp:keywords/>
  <dc:description/>
  <cp:lastModifiedBy>Федосова Елена Александровна</cp:lastModifiedBy>
  <cp:revision>1</cp:revision>
  <cp:lastPrinted>2026-06-01T03:13:00Z</cp:lastPrinted>
  <dcterms:created xsi:type="dcterms:W3CDTF">2026-06-01T03:11:00Z</dcterms:created>
  <dcterms:modified xsi:type="dcterms:W3CDTF">2026-06-01T07:32:00Z</dcterms:modified>
</cp:coreProperties>
</file>