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4445</wp:posOffset>
            </wp:positionH>
            <wp:positionV relativeFrom="paragraph">
              <wp:posOffset>52070</wp:posOffset>
            </wp:positionV>
            <wp:extent cx="3362325" cy="8959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FirstIndent"/>
        <w:jc w:val="left"/>
        <w:rPr/>
      </w:pPr>
      <w:r>
        <w:rPr/>
      </w:r>
    </w:p>
    <w:p>
      <w:pPr>
        <w:pStyle w:val="BodyTextFirstIndent"/>
        <w:jc w:val="left"/>
        <w:rPr/>
      </w:pPr>
      <w:r>
        <w:rPr/>
      </w:r>
    </w:p>
    <w:p>
      <w:pPr>
        <w:pStyle w:val="BodyTextFirstIndent"/>
        <w:jc w:val="right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27.02.2025</w:t>
      </w:r>
    </w:p>
    <w:p>
      <w:pPr>
        <w:pStyle w:val="NoSpacing"/>
        <w:ind w:firstLine="708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Новый порядок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направления документов для внесения сведений в ЕГРН о границах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объектов недвижимости с 25 февраля 2025 года</w:t>
      </w:r>
    </w:p>
    <w:p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Spacing"/>
        <w:spacing w:lineRule="auto" w:line="276"/>
        <w:ind w:firstLine="708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 25 февраля 2025 года в России изменился порядок предоставления информации о границах объектов недвижимости в Единый государственный реестр недвижимости (ЕГРН). Постановление Правительства РФ № 168 от 15 февраля 2025 года внесло существенные поправки в постановление № 1532 от 31 декабря 2015 года, исключив возможность подачи документов на электронных носителях, таких как CD-диски или флеш-накопители. Теперь единственным допустимым способом передачи данных является использование системы межведомственного электронного взаимодействия (СМЭВ) и подключенных к ней региональных систем.</w:t>
      </w:r>
    </w:p>
    <w:p>
      <w:pPr>
        <w:pStyle w:val="NoSpacing"/>
        <w:spacing w:lineRule="auto" w:line="276"/>
        <w:ind w:firstLine="708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Изменения затрагивают сведения о границах территориальных зон, населенных пунктов, публичных сервитутов, зон с особыми условиями использования территории (ЗОУИТ) и других объектов, регистрируемых в реестре границ ЕГРН. Все документы должны быть направлены через СМЭВ, где каждый файл должен быть заверен усиленной квалифицированной электронной подписью (УКЭП) уполномоченного лица.</w:t>
      </w:r>
    </w:p>
    <w:p>
      <w:pPr>
        <w:pStyle w:val="NoSpacing"/>
        <w:spacing w:lineRule="auto" w:line="276"/>
        <w:ind w:firstLine="708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Требования к пакету документов: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PDF-образ решения (акта) </w:t>
      </w:r>
      <w:r>
        <w:rPr>
          <w:rFonts w:ascii="Times New Roman" w:hAnsi="Times New Roman"/>
          <w:color w:val="auto"/>
          <w:sz w:val="24"/>
          <w:szCs w:val="24"/>
        </w:rPr>
        <w:t>об установлении или изменении границы объекта реестра границ;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XML-документ</w:t>
      </w:r>
      <w:r>
        <w:rPr>
          <w:rFonts w:ascii="Times New Roman" w:hAnsi="Times New Roman"/>
          <w:color w:val="auto"/>
          <w:sz w:val="24"/>
          <w:szCs w:val="24"/>
        </w:rPr>
        <w:t>, сформированный в соответствии с XML-схемой interact_entry_boundaries_V02, содержащий описание местоположения границы;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Электронная копия документа</w:t>
      </w:r>
      <w:r>
        <w:rPr>
          <w:rFonts w:ascii="Times New Roman" w:hAnsi="Times New Roman"/>
          <w:color w:val="auto"/>
          <w:sz w:val="24"/>
          <w:szCs w:val="24"/>
        </w:rPr>
        <w:t>, подтверждающего полномочия на подписание УКЭП документов, направляемых для внесения сведений в ЕГРН (если требуется).</w:t>
      </w:r>
    </w:p>
    <w:p>
      <w:pPr>
        <w:pStyle w:val="NoSpacing"/>
        <w:spacing w:lineRule="auto" w:line="276"/>
        <w:ind w:firstLine="708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Если документы, заверенные УКЭП до 25 февраля 2025 года, были поданы на электронных носителях после указанной даты,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при этом заверены УКЭП уполномоченного органа до указанной даты, </w:t>
      </w:r>
      <w:r>
        <w:rPr>
          <w:rFonts w:ascii="Times New Roman" w:hAnsi="Times New Roman"/>
          <w:color w:val="auto"/>
          <w:sz w:val="24"/>
          <w:szCs w:val="24"/>
        </w:rPr>
        <w:t>они рассматриваются по прежнему порядку.</w:t>
      </w:r>
    </w:p>
    <w:p>
      <w:pPr>
        <w:pStyle w:val="NoSpacing"/>
        <w:spacing w:lineRule="auto" w:line="276"/>
        <w:ind w:firstLine="708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Кроме того, если не определен орган, компетентный принимать решения об установлении или изменении границ ЗОУИТ, подача документов для внесения данных о таких зонах в ЕГРН может осуществляться на электронных носителях. Это можно сделать: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Лично в филиале ППК «Роскадастр» по Республике Саха (Якутия) по адресу: г. Якутск, ул. Кулаковского, д. 28, 4 этаж (приемная директора);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Через многофункциональный центр предоставления государственных или муниципальных услуг (МФЦ);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 почте.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ab/>
        <w:t>«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Переход на использование СМЭВ повышает безопасность и эффективность процесса обмена информацией между органами власти и Росреестром. Это также упрощает контроль за достоверностью предоставляемых данных, благодаря использованию УКЭП. Новые правила направлены на стандартизацию процесса регистрации границ объектов недвижимости и снижение рисков ошибок при передаче данных. Они также способствуют цифровой трансформации государственных услуг в сфере управления недвижимостью», </w:t>
      </w:r>
      <w:r>
        <w:rPr>
          <w:rFonts w:ascii="Times New Roman" w:hAnsi="Times New Roman"/>
          <w:color w:val="auto"/>
          <w:sz w:val="24"/>
          <w:szCs w:val="24"/>
        </w:rPr>
        <w:t xml:space="preserve">- прокомментировала руководитель Управления Росреестра по Республике Саха (Якутия) </w:t>
      </w:r>
      <w:r>
        <w:rPr>
          <w:rFonts w:ascii="Times New Roman" w:hAnsi="Times New Roman"/>
          <w:b/>
          <w:color w:val="auto"/>
          <w:sz w:val="24"/>
          <w:szCs w:val="24"/>
        </w:rPr>
        <w:t>Ольга Егорова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26329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/>
  </w:style>
  <w:style w:type="character" w:styleId="1" w:customStyle="1">
    <w:name w:val="Основной шрифт абзаца1"/>
    <w:qFormat/>
    <w:rPr/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2" w:customStyle="1">
    <w:name w:val="Заголовок 2 Знак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yle11" w:customStyle="1">
    <w:name w:val="Основной текст Знак"/>
    <w:basedOn w:val="1"/>
    <w:qFormat/>
    <w:rPr/>
  </w:style>
  <w:style w:type="character" w:styleId="Style12" w:customStyle="1">
    <w:name w:val="Красная строка Знак"/>
    <w:qFormat/>
    <w:rPr>
      <w:rFonts w:ascii="PT Astra Serif" w:hAnsi="PT Astra Serif" w:eastAsia="Source Han Sans CN Regular" w:cs="Lohit Devanagari"/>
      <w:kern w:val="2"/>
      <w:sz w:val="28"/>
      <w:szCs w:val="24"/>
      <w:lang w:bidi="ru-RU"/>
    </w:rPr>
  </w:style>
  <w:style w:type="character" w:styleId="3" w:customStyle="1">
    <w:name w:val="Заголовок 3 Знак"/>
    <w:basedOn w:val="DefaultParagraphFont"/>
    <w:uiPriority w:val="9"/>
    <w:semiHidden/>
    <w:qFormat/>
    <w:rsid w:val="0002632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zh-CN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63303f"/>
    <w:rPr>
      <w:rFonts w:ascii="Tahoma" w:hAnsi="Tahoma" w:eastAsia="Calibri" w:cs="Tahoma"/>
      <w:sz w:val="16"/>
      <w:szCs w:val="16"/>
      <w:lang w:eastAsia="zh-C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4" w:customStyle="1">
    <w:name w:val="Красная строка1"/>
    <w:basedOn w:val="Normal"/>
    <w:qFormat/>
    <w:pPr>
      <w:widowControl w:val="false"/>
      <w:spacing w:lineRule="auto" w:line="240" w:before="0" w:after="0"/>
      <w:ind w:firstLine="709"/>
      <w:jc w:val="both"/>
    </w:pPr>
    <w:rPr>
      <w:rFonts w:ascii="PT Astra Serif" w:hAnsi="PT Astra Serif" w:eastAsia="Source Han Sans CN Regular" w:cs="Lohit Devanagari"/>
      <w:kern w:val="2"/>
      <w:sz w:val="28"/>
      <w:szCs w:val="24"/>
      <w:lang w:bidi="ru-RU"/>
    </w:rPr>
  </w:style>
  <w:style w:type="paragraph" w:styleId="BodyTextFirstIndent">
    <w:name w:val="Body Text First Indent"/>
    <w:basedOn w:val="Normal"/>
    <w:pPr>
      <w:ind w:firstLine="709"/>
      <w:jc w:val="both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6330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LibreOffice/7.6.7.2$Linux_X86_64 LibreOffice_project/60$Build-2</Application>
  <AppVersion>15.0000</AppVersion>
  <Pages>2</Pages>
  <Words>350</Words>
  <Characters>2436</Characters>
  <CharactersWithSpaces>2767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2025-02-27T07:12:00Z</dcterms:created>
  <dc:creator>efimova.e.i</dc:creator>
  <dc:description/>
  <dc:language>ru-RU</dc:language>
  <cp:lastModifiedBy/>
  <cp:lastPrinted>2025-02-27T07:09:00Z</cp:lastPrinted>
  <dcterms:modified xsi:type="dcterms:W3CDTF">2025-02-28T09:03:03Z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